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1721" w14:textId="73B3D70B" w:rsidR="00C6562B" w:rsidRDefault="006966F5">
      <w:r w:rsidRPr="004E3A98">
        <w:rPr>
          <w:rFonts w:ascii="Arial" w:hAnsi="Arial" w:cs="Arial"/>
          <w:b/>
          <w:noProof/>
          <w:sz w:val="18"/>
          <w:lang w:eastAsia="en-GB"/>
        </w:rPr>
        <w:drawing>
          <wp:anchor distT="0" distB="0" distL="114300" distR="114300" simplePos="0" relativeHeight="251659264" behindDoc="0" locked="0" layoutInCell="1" allowOverlap="1" wp14:anchorId="77939DE5" wp14:editId="46E07A37">
            <wp:simplePos x="0" y="0"/>
            <wp:positionH relativeFrom="column">
              <wp:posOffset>-468961</wp:posOffset>
            </wp:positionH>
            <wp:positionV relativeFrom="paragraph">
              <wp:posOffset>-556122</wp:posOffset>
            </wp:positionV>
            <wp:extent cx="1438275" cy="13430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srcRect l="12282" t="3432" r="17288" b="7140"/>
                    <a:stretch/>
                  </pic:blipFill>
                  <pic:spPr bwMode="auto">
                    <a:xfrm>
                      <a:off x="0" y="0"/>
                      <a:ext cx="1438275"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25732" w14:textId="2D17D914" w:rsidR="006966F5" w:rsidRPr="006966F5" w:rsidRDefault="006966F5" w:rsidP="006966F5"/>
    <w:p w14:paraId="06EFABC9" w14:textId="339DF77E" w:rsidR="006966F5" w:rsidRPr="006966F5" w:rsidRDefault="006966F5" w:rsidP="006966F5"/>
    <w:p w14:paraId="4E2C5C76" w14:textId="16E403D8" w:rsidR="006966F5" w:rsidRPr="006966F5" w:rsidRDefault="006966F5" w:rsidP="006966F5"/>
    <w:p w14:paraId="44743B4D" w14:textId="586617E1"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60064CF9" wp14:editId="53CF5D13">
                <wp:simplePos x="0" y="0"/>
                <wp:positionH relativeFrom="column">
                  <wp:posOffset>-850790</wp:posOffset>
                </wp:positionH>
                <wp:positionV relativeFrom="paragraph">
                  <wp:posOffset>179180</wp:posOffset>
                </wp:positionV>
                <wp:extent cx="7402665" cy="361315"/>
                <wp:effectExtent l="0" t="0" r="8255" b="635"/>
                <wp:wrapNone/>
                <wp:docPr id="54" name="Text Box 54"/>
                <wp:cNvGraphicFramePr/>
                <a:graphic xmlns:a="http://schemas.openxmlformats.org/drawingml/2006/main">
                  <a:graphicData uri="http://schemas.microsoft.com/office/word/2010/wordprocessingShape">
                    <wps:wsp>
                      <wps:cNvSpPr txBox="1"/>
                      <wps:spPr>
                        <a:xfrm>
                          <a:off x="0" y="0"/>
                          <a:ext cx="7402665" cy="361315"/>
                        </a:xfrm>
                        <a:prstGeom prst="rect">
                          <a:avLst/>
                        </a:prstGeom>
                        <a:solidFill>
                          <a:srgbClr val="006699"/>
                        </a:solidFill>
                        <a:ln w="6350">
                          <a:noFill/>
                        </a:ln>
                      </wps:spPr>
                      <wps:txbx>
                        <w:txbxContent>
                          <w:p w14:paraId="72C51D16" w14:textId="155E1A74" w:rsidR="007A7A0C" w:rsidRPr="00787E45" w:rsidRDefault="007A7A0C" w:rsidP="006966F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4CF9" id="_x0000_t202" coordsize="21600,21600" o:spt="202" path="m,l,21600r21600,l21600,xe">
                <v:stroke joinstyle="miter"/>
                <v:path gradientshapeok="t" o:connecttype="rect"/>
              </v:shapetype>
              <v:shape id="Text Box 54" o:spid="_x0000_s1026" type="#_x0000_t202" style="position:absolute;margin-left:-67pt;margin-top:14.1pt;width:582.9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" fillcolor="#069" stroked="f" strokeweight=".5pt">
                <v:textbox>
                  <w:txbxContent>
                    <w:p w14:paraId="72C51D16" w14:textId="155E1A74" w:rsidR="007A7A0C" w:rsidRPr="00787E45" w:rsidRDefault="007A7A0C" w:rsidP="006966F5">
                      <w:pPr>
                        <w:pStyle w:val="NoSpacing"/>
                        <w:rPr>
                          <w:rFonts w:ascii="Arial" w:hAnsi="Arial" w:cs="Arial"/>
                          <w:color w:val="FFFFFF" w:themeColor="background1"/>
                          <w:sz w:val="32"/>
                        </w:rPr>
                      </w:pPr>
                    </w:p>
                  </w:txbxContent>
                </v:textbox>
              </v:shape>
            </w:pict>
          </mc:Fallback>
        </mc:AlternateContent>
      </w:r>
    </w:p>
    <w:p w14:paraId="2734B419" w14:textId="2ACF2590"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5408" behindDoc="0" locked="0" layoutInCell="1" allowOverlap="1" wp14:anchorId="35164742" wp14:editId="3812DB19">
                <wp:simplePos x="0" y="0"/>
                <wp:positionH relativeFrom="column">
                  <wp:posOffset>-850790</wp:posOffset>
                </wp:positionH>
                <wp:positionV relativeFrom="paragraph">
                  <wp:posOffset>251239</wp:posOffset>
                </wp:positionV>
                <wp:extent cx="7402195" cy="4937760"/>
                <wp:effectExtent l="0" t="0" r="8255" b="0"/>
                <wp:wrapNone/>
                <wp:docPr id="55" name="Text Box 55"/>
                <wp:cNvGraphicFramePr/>
                <a:graphic xmlns:a="http://schemas.openxmlformats.org/drawingml/2006/main">
                  <a:graphicData uri="http://schemas.microsoft.com/office/word/2010/wordprocessingShape">
                    <wps:wsp>
                      <wps:cNvSpPr txBox="1"/>
                      <wps:spPr>
                        <a:xfrm>
                          <a:off x="0" y="0"/>
                          <a:ext cx="7402195" cy="4937760"/>
                        </a:xfrm>
                        <a:prstGeom prst="rect">
                          <a:avLst/>
                        </a:prstGeom>
                        <a:solidFill>
                          <a:schemeClr val="accent5">
                            <a:lumMod val="60000"/>
                            <a:lumOff val="40000"/>
                          </a:schemeClr>
                        </a:solidFill>
                        <a:ln w="6350">
                          <a:noFill/>
                        </a:ln>
                      </wps:spPr>
                      <wps:txbx>
                        <w:txbxContent>
                          <w:p w14:paraId="623F0843" w14:textId="77777777" w:rsidR="007A7A0C" w:rsidRDefault="007A7A0C" w:rsidP="006966F5">
                            <w:pPr>
                              <w:rPr>
                                <w:rFonts w:ascii="Arial" w:hAnsi="Arial" w:cs="Arial"/>
                                <w:b/>
                              </w:rPr>
                            </w:pPr>
                          </w:p>
                          <w:p w14:paraId="7587B6D0" w14:textId="77777777" w:rsidR="007A7A0C" w:rsidRDefault="007A7A0C" w:rsidP="006966F5">
                            <w:pPr>
                              <w:jc w:val="center"/>
                              <w:rPr>
                                <w:rFonts w:ascii="Arial" w:hAnsi="Arial" w:cs="Arial"/>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CEA27" w14:textId="727D3C0D"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Wholesale</w:t>
                            </w:r>
                          </w:p>
                          <w:p w14:paraId="4E7FD11A" w14:textId="0270C796"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w:t>
                            </w:r>
                          </w:p>
                          <w:p w14:paraId="6CA58A48" w14:textId="71C5950A"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4742" id="Text Box 55" o:spid="_x0000_s1027" type="#_x0000_t202" style="position:absolute;margin-left:-67pt;margin-top:19.8pt;width:582.85pt;height:3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" fillcolor="#9cc2e5 [1944]" stroked="f" strokeweight=".5pt">
                <v:textbox>
                  <w:txbxContent>
                    <w:p w14:paraId="623F0843" w14:textId="77777777" w:rsidR="007A7A0C" w:rsidRDefault="007A7A0C" w:rsidP="006966F5">
                      <w:pPr>
                        <w:rPr>
                          <w:rFonts w:ascii="Arial" w:hAnsi="Arial" w:cs="Arial"/>
                          <w:b/>
                        </w:rPr>
                      </w:pPr>
                    </w:p>
                    <w:p w14:paraId="7587B6D0" w14:textId="77777777" w:rsidR="007A7A0C" w:rsidRDefault="007A7A0C" w:rsidP="006966F5">
                      <w:pPr>
                        <w:jc w:val="center"/>
                        <w:rPr>
                          <w:rFonts w:ascii="Arial" w:hAnsi="Arial" w:cs="Arial"/>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CEA27" w14:textId="727D3C0D"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Wholesale</w:t>
                      </w:r>
                    </w:p>
                    <w:p w14:paraId="4E7FD11A" w14:textId="0270C796"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w:t>
                      </w:r>
                    </w:p>
                    <w:p w14:paraId="6CA58A48" w14:textId="71C5950A"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w:t>
                      </w:r>
                    </w:p>
                  </w:txbxContent>
                </v:textbox>
              </v:shape>
            </w:pict>
          </mc:Fallback>
        </mc:AlternateContent>
      </w:r>
    </w:p>
    <w:p w14:paraId="5ED137AC" w14:textId="1B519D20" w:rsidR="006966F5" w:rsidRPr="006966F5" w:rsidRDefault="006966F5" w:rsidP="006966F5"/>
    <w:p w14:paraId="25058DB9" w14:textId="611AB56B" w:rsidR="006966F5" w:rsidRPr="006966F5" w:rsidRDefault="006966F5" w:rsidP="006966F5"/>
    <w:p w14:paraId="58AEA116" w14:textId="3E66B351" w:rsidR="006966F5" w:rsidRPr="006966F5" w:rsidRDefault="006966F5" w:rsidP="006966F5"/>
    <w:p w14:paraId="04F9FA9A" w14:textId="050FA710" w:rsidR="006966F5" w:rsidRPr="006966F5" w:rsidRDefault="006966F5" w:rsidP="006966F5"/>
    <w:p w14:paraId="4488BE5E" w14:textId="4CFC06C5" w:rsidR="006966F5" w:rsidRPr="006966F5" w:rsidRDefault="006966F5" w:rsidP="006966F5"/>
    <w:p w14:paraId="7B9C9F9C" w14:textId="42A42107" w:rsidR="006966F5" w:rsidRPr="006966F5" w:rsidRDefault="006966F5" w:rsidP="006966F5"/>
    <w:p w14:paraId="2D93DF0A" w14:textId="1CE03FC7" w:rsidR="006966F5" w:rsidRPr="006966F5" w:rsidRDefault="006966F5" w:rsidP="006966F5"/>
    <w:p w14:paraId="61FB7129" w14:textId="063110C2" w:rsidR="006966F5" w:rsidRPr="006966F5" w:rsidRDefault="006966F5" w:rsidP="006966F5"/>
    <w:p w14:paraId="235C944E" w14:textId="31B24629" w:rsidR="006966F5" w:rsidRPr="006966F5" w:rsidRDefault="006966F5" w:rsidP="006966F5"/>
    <w:p w14:paraId="1F3A53DC" w14:textId="1BAFE4E8" w:rsidR="006966F5" w:rsidRPr="006966F5" w:rsidRDefault="006966F5" w:rsidP="006966F5"/>
    <w:p w14:paraId="45ED64C8" w14:textId="3F4037F4" w:rsidR="006966F5" w:rsidRPr="006966F5" w:rsidRDefault="006966F5" w:rsidP="006966F5"/>
    <w:p w14:paraId="1DAF69AE" w14:textId="6D75EA1C" w:rsidR="006966F5" w:rsidRPr="006966F5" w:rsidRDefault="006966F5" w:rsidP="006966F5"/>
    <w:p w14:paraId="5FA33353" w14:textId="12F4DA6F" w:rsidR="006966F5" w:rsidRPr="006966F5" w:rsidRDefault="006966F5" w:rsidP="006966F5"/>
    <w:p w14:paraId="566CA1A6" w14:textId="20824888" w:rsidR="006966F5" w:rsidRPr="006966F5" w:rsidRDefault="006966F5" w:rsidP="006966F5"/>
    <w:p w14:paraId="41253A1C" w14:textId="4C33208F" w:rsidR="006966F5" w:rsidRPr="006966F5" w:rsidRDefault="006966F5" w:rsidP="006966F5"/>
    <w:p w14:paraId="6074E65D" w14:textId="7FB66482" w:rsidR="006966F5" w:rsidRPr="006966F5" w:rsidRDefault="006966F5" w:rsidP="006966F5"/>
    <w:p w14:paraId="133AD08E" w14:textId="554DAF37"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3360" behindDoc="0" locked="0" layoutInCell="1" allowOverlap="1" wp14:anchorId="7AD89ABF" wp14:editId="45EB705E">
                <wp:simplePos x="0" y="0"/>
                <wp:positionH relativeFrom="column">
                  <wp:posOffset>-850790</wp:posOffset>
                </wp:positionH>
                <wp:positionV relativeFrom="paragraph">
                  <wp:posOffset>333154</wp:posOffset>
                </wp:positionV>
                <wp:extent cx="7402195" cy="361315"/>
                <wp:effectExtent l="0" t="0" r="8255" b="635"/>
                <wp:wrapNone/>
                <wp:docPr id="1" name="Text Box 1"/>
                <wp:cNvGraphicFramePr/>
                <a:graphic xmlns:a="http://schemas.openxmlformats.org/drawingml/2006/main">
                  <a:graphicData uri="http://schemas.microsoft.com/office/word/2010/wordprocessingShape">
                    <wps:wsp>
                      <wps:cNvSpPr txBox="1"/>
                      <wps:spPr>
                        <a:xfrm>
                          <a:off x="0" y="0"/>
                          <a:ext cx="7402195" cy="361315"/>
                        </a:xfrm>
                        <a:prstGeom prst="rect">
                          <a:avLst/>
                        </a:prstGeom>
                        <a:solidFill>
                          <a:srgbClr val="006699"/>
                        </a:solidFill>
                        <a:ln w="6350">
                          <a:noFill/>
                        </a:ln>
                      </wps:spPr>
                      <wps:txbx>
                        <w:txbxContent>
                          <w:p w14:paraId="6F450C41" w14:textId="77777777" w:rsidR="007A7A0C" w:rsidRPr="00787E45" w:rsidRDefault="007A7A0C" w:rsidP="006966F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9ABF" id="Text Box 1" o:spid="_x0000_s1028" type="#_x0000_t202" style="position:absolute;margin-left:-67pt;margin-top:26.25pt;width:582.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" fillcolor="#069" stroked="f" strokeweight=".5pt">
                <v:textbox>
                  <w:txbxContent>
                    <w:p w14:paraId="6F450C41" w14:textId="77777777" w:rsidR="007A7A0C" w:rsidRPr="00787E45" w:rsidRDefault="007A7A0C" w:rsidP="006966F5">
                      <w:pPr>
                        <w:pStyle w:val="NoSpacing"/>
                        <w:rPr>
                          <w:rFonts w:ascii="Arial" w:hAnsi="Arial" w:cs="Arial"/>
                          <w:color w:val="FFFFFF" w:themeColor="background1"/>
                          <w:sz w:val="32"/>
                        </w:rPr>
                      </w:pPr>
                    </w:p>
                  </w:txbxContent>
                </v:textbox>
              </v:shape>
            </w:pict>
          </mc:Fallback>
        </mc:AlternateContent>
      </w:r>
    </w:p>
    <w:p w14:paraId="395D9458" w14:textId="5610BF92" w:rsidR="006966F5" w:rsidRPr="006966F5" w:rsidRDefault="006966F5" w:rsidP="006966F5"/>
    <w:p w14:paraId="5B922871" w14:textId="1126602E" w:rsidR="006966F5" w:rsidRPr="006966F5" w:rsidRDefault="006966F5" w:rsidP="006966F5"/>
    <w:p w14:paraId="0844721F" w14:textId="44DAC596" w:rsidR="006966F5" w:rsidRPr="006966F5" w:rsidRDefault="006966F5" w:rsidP="006966F5"/>
    <w:p w14:paraId="17DAD96C" w14:textId="41D3B41D" w:rsidR="006966F5" w:rsidRDefault="006966F5" w:rsidP="006966F5"/>
    <w:p w14:paraId="71B198FE" w14:textId="6AE47F71" w:rsidR="006966F5" w:rsidRDefault="006966F5" w:rsidP="006966F5">
      <w:pPr>
        <w:tabs>
          <w:tab w:val="left" w:pos="2792"/>
        </w:tabs>
        <w:jc w:val="center"/>
        <w:rPr>
          <w:rFonts w:ascii="Arial" w:hAnsi="Arial" w:cs="Arial"/>
          <w:color w:val="0070C0"/>
          <w:sz w:val="28"/>
        </w:rPr>
      </w:pPr>
      <w:r w:rsidRPr="006966F5">
        <w:rPr>
          <w:rFonts w:ascii="Arial" w:hAnsi="Arial" w:cs="Arial"/>
          <w:color w:val="0070C0"/>
          <w:sz w:val="28"/>
        </w:rPr>
        <w:t xml:space="preserve">Setting out tariffs for </w:t>
      </w:r>
      <w:r w:rsidR="00180866">
        <w:rPr>
          <w:rFonts w:ascii="Arial" w:hAnsi="Arial" w:cs="Arial"/>
          <w:color w:val="0070C0"/>
          <w:sz w:val="28"/>
        </w:rPr>
        <w:t>202</w:t>
      </w:r>
      <w:r w:rsidR="00375583">
        <w:rPr>
          <w:rFonts w:ascii="Arial" w:hAnsi="Arial" w:cs="Arial"/>
          <w:color w:val="0070C0"/>
          <w:sz w:val="28"/>
        </w:rPr>
        <w:t>3</w:t>
      </w:r>
      <w:r w:rsidRPr="006966F5">
        <w:rPr>
          <w:rFonts w:ascii="Arial" w:hAnsi="Arial" w:cs="Arial"/>
          <w:color w:val="0070C0"/>
          <w:sz w:val="28"/>
        </w:rPr>
        <w:t>/</w:t>
      </w:r>
      <w:r w:rsidR="00180866">
        <w:rPr>
          <w:rFonts w:ascii="Arial" w:hAnsi="Arial" w:cs="Arial"/>
          <w:color w:val="0070C0"/>
          <w:sz w:val="28"/>
        </w:rPr>
        <w:t>202</w:t>
      </w:r>
      <w:r w:rsidR="00375583">
        <w:rPr>
          <w:rFonts w:ascii="Arial" w:hAnsi="Arial" w:cs="Arial"/>
          <w:color w:val="0070C0"/>
          <w:sz w:val="28"/>
        </w:rPr>
        <w:t>4</w:t>
      </w:r>
      <w:r w:rsidR="00180866">
        <w:rPr>
          <w:rFonts w:ascii="Arial" w:hAnsi="Arial" w:cs="Arial"/>
          <w:color w:val="0070C0"/>
          <w:sz w:val="28"/>
        </w:rPr>
        <w:t xml:space="preserve"> </w:t>
      </w:r>
      <w:r w:rsidRPr="006966F5">
        <w:rPr>
          <w:rFonts w:ascii="Arial" w:hAnsi="Arial" w:cs="Arial"/>
          <w:color w:val="0070C0"/>
          <w:sz w:val="28"/>
        </w:rPr>
        <w:t xml:space="preserve">in relation to services provided by County Water </w:t>
      </w:r>
      <w:r w:rsidR="0003070E">
        <w:rPr>
          <w:rFonts w:ascii="Arial" w:hAnsi="Arial" w:cs="Arial"/>
          <w:color w:val="0070C0"/>
          <w:sz w:val="28"/>
        </w:rPr>
        <w:t>Limited</w:t>
      </w:r>
    </w:p>
    <w:p w14:paraId="7A4C468D" w14:textId="316C43D9" w:rsidR="006966F5" w:rsidRDefault="006966F5" w:rsidP="006966F5">
      <w:pPr>
        <w:tabs>
          <w:tab w:val="left" w:pos="2792"/>
        </w:tabs>
        <w:jc w:val="center"/>
        <w:rPr>
          <w:rFonts w:ascii="Arial" w:hAnsi="Arial" w:cs="Arial"/>
          <w:color w:val="0070C0"/>
          <w:sz w:val="28"/>
        </w:rPr>
      </w:pPr>
    </w:p>
    <w:p w14:paraId="2173B9A5" w14:textId="050F7A47" w:rsidR="00DE4608" w:rsidRDefault="00DE4608" w:rsidP="00DE4608">
      <w:pPr>
        <w:tabs>
          <w:tab w:val="left" w:pos="2792"/>
        </w:tabs>
        <w:rPr>
          <w:rFonts w:ascii="Arial" w:hAnsi="Arial" w:cs="Arial"/>
          <w:color w:val="0070C0"/>
          <w:sz w:val="28"/>
        </w:rPr>
      </w:pPr>
      <w:r>
        <w:rPr>
          <w:rFonts w:ascii="Arial" w:hAnsi="Arial" w:cs="Arial"/>
          <w:b/>
          <w:noProof/>
          <w:sz w:val="24"/>
          <w:lang w:eastAsia="en-GB"/>
        </w:rPr>
        <w:lastRenderedPageBreak/>
        <mc:AlternateContent>
          <mc:Choice Requires="wps">
            <w:drawing>
              <wp:anchor distT="0" distB="0" distL="114300" distR="114300" simplePos="0" relativeHeight="251671552" behindDoc="0" locked="0" layoutInCell="1" allowOverlap="1" wp14:anchorId="3DD2A812" wp14:editId="165DF432">
                <wp:simplePos x="0" y="0"/>
                <wp:positionH relativeFrom="column">
                  <wp:posOffset>-850790</wp:posOffset>
                </wp:positionH>
                <wp:positionV relativeFrom="paragraph">
                  <wp:posOffset>-61982</wp:posOffset>
                </wp:positionV>
                <wp:extent cx="7394713" cy="361666"/>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394713" cy="361666"/>
                        </a:xfrm>
                        <a:prstGeom prst="rect">
                          <a:avLst/>
                        </a:prstGeom>
                        <a:solidFill>
                          <a:srgbClr val="006699"/>
                        </a:solidFill>
                        <a:ln w="6350">
                          <a:noFill/>
                        </a:ln>
                      </wps:spPr>
                      <wps:txbx>
                        <w:txbxContent>
                          <w:p w14:paraId="4A1E0C69" w14:textId="3C66E4B7" w:rsidR="007A7A0C" w:rsidRPr="004616F3" w:rsidRDefault="007A7A0C" w:rsidP="00DE4608">
                            <w:pPr>
                              <w:pStyle w:val="NoSpacing"/>
                              <w:rPr>
                                <w:rFonts w:ascii="Arial" w:hAnsi="Arial" w:cs="Arial"/>
                                <w:color w:val="FFFFFF" w:themeColor="background1"/>
                                <w:sz w:val="32"/>
                              </w:rPr>
                            </w:pPr>
                            <w:r>
                              <w:rPr>
                                <w:rFonts w:ascii="Arial" w:hAnsi="Arial" w:cs="Arial"/>
                                <w:color w:val="FFFFFF" w:themeColor="background1"/>
                                <w:sz w:val="32"/>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A812" id="Text Box 6" o:spid="_x0000_s1029" type="#_x0000_t202" style="position:absolute;margin-left:-67pt;margin-top:-4.9pt;width:582.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" fillcolor="#069" stroked="f" strokeweight=".5pt">
                <v:textbox>
                  <w:txbxContent>
                    <w:p w14:paraId="4A1E0C69" w14:textId="3C66E4B7" w:rsidR="007A7A0C" w:rsidRPr="004616F3" w:rsidRDefault="007A7A0C" w:rsidP="00DE4608">
                      <w:pPr>
                        <w:pStyle w:val="NoSpacing"/>
                        <w:rPr>
                          <w:rFonts w:ascii="Arial" w:hAnsi="Arial" w:cs="Arial"/>
                          <w:color w:val="FFFFFF" w:themeColor="background1"/>
                          <w:sz w:val="32"/>
                        </w:rPr>
                      </w:pPr>
                      <w:r>
                        <w:rPr>
                          <w:rFonts w:ascii="Arial" w:hAnsi="Arial" w:cs="Arial"/>
                          <w:color w:val="FFFFFF" w:themeColor="background1"/>
                          <w:sz w:val="32"/>
                        </w:rPr>
                        <w:t>Contents</w:t>
                      </w:r>
                    </w:p>
                  </w:txbxContent>
                </v:textbox>
              </v:shape>
            </w:pict>
          </mc:Fallback>
        </mc:AlternateContent>
      </w:r>
    </w:p>
    <w:p w14:paraId="42B61920" w14:textId="7A9EE9D4" w:rsidR="00DE4608" w:rsidRDefault="00DE4608" w:rsidP="006966F5">
      <w:pPr>
        <w:tabs>
          <w:tab w:val="left" w:pos="2792"/>
        </w:tabs>
        <w:jc w:val="center"/>
        <w:rPr>
          <w:rFonts w:ascii="Arial" w:hAnsi="Arial" w:cs="Arial"/>
          <w:color w:val="0070C0"/>
          <w:sz w:val="28"/>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995"/>
        <w:gridCol w:w="728"/>
      </w:tblGrid>
      <w:tr w:rsidR="0042649E" w14:paraId="489A9703" w14:textId="77777777" w:rsidTr="00846B00">
        <w:tc>
          <w:tcPr>
            <w:tcW w:w="8912" w:type="dxa"/>
            <w:gridSpan w:val="2"/>
            <w:vAlign w:val="center"/>
          </w:tcPr>
          <w:p w14:paraId="1AF25D85" w14:textId="4EB24AE7" w:rsidR="0042649E" w:rsidRPr="004A160C" w:rsidRDefault="0042649E" w:rsidP="004A1671">
            <w:pPr>
              <w:tabs>
                <w:tab w:val="left" w:pos="2792"/>
              </w:tabs>
              <w:rPr>
                <w:rFonts w:ascii="Arial" w:hAnsi="Arial" w:cs="Arial"/>
                <w:sz w:val="20"/>
                <w:szCs w:val="20"/>
              </w:rPr>
            </w:pPr>
            <w:r>
              <w:rPr>
                <w:rFonts w:ascii="Arial" w:hAnsi="Arial" w:cs="Arial"/>
                <w:sz w:val="20"/>
                <w:szCs w:val="20"/>
              </w:rPr>
              <w:t>Legal forward and updates to this document …………………………………………………………</w:t>
            </w:r>
            <w:proofErr w:type="gramStart"/>
            <w:r>
              <w:rPr>
                <w:rFonts w:ascii="Arial" w:hAnsi="Arial" w:cs="Arial"/>
                <w:sz w:val="20"/>
                <w:szCs w:val="20"/>
              </w:rPr>
              <w:t>…</w:t>
            </w:r>
            <w:r w:rsidR="00212560">
              <w:rPr>
                <w:rFonts w:ascii="Arial" w:hAnsi="Arial" w:cs="Arial"/>
                <w:sz w:val="20"/>
                <w:szCs w:val="20"/>
              </w:rPr>
              <w:t>..</w:t>
            </w:r>
            <w:proofErr w:type="gramEnd"/>
          </w:p>
        </w:tc>
        <w:tc>
          <w:tcPr>
            <w:tcW w:w="728" w:type="dxa"/>
            <w:vAlign w:val="center"/>
          </w:tcPr>
          <w:p w14:paraId="5EFA6FA9" w14:textId="4234746E" w:rsidR="0042649E" w:rsidRPr="004A160C" w:rsidRDefault="0042649E" w:rsidP="004A160C">
            <w:pPr>
              <w:tabs>
                <w:tab w:val="left" w:pos="2792"/>
              </w:tabs>
              <w:jc w:val="center"/>
              <w:rPr>
                <w:rFonts w:ascii="Arial" w:hAnsi="Arial" w:cs="Arial"/>
                <w:sz w:val="20"/>
                <w:szCs w:val="20"/>
              </w:rPr>
            </w:pPr>
            <w:r w:rsidRPr="004A160C">
              <w:rPr>
                <w:rFonts w:ascii="Arial" w:hAnsi="Arial" w:cs="Arial"/>
                <w:sz w:val="20"/>
                <w:szCs w:val="20"/>
              </w:rPr>
              <w:t>3</w:t>
            </w:r>
          </w:p>
        </w:tc>
      </w:tr>
      <w:tr w:rsidR="0042649E" w14:paraId="4E5AD2F8" w14:textId="77777777" w:rsidTr="00846B00">
        <w:tc>
          <w:tcPr>
            <w:tcW w:w="8912" w:type="dxa"/>
            <w:gridSpan w:val="2"/>
            <w:vAlign w:val="center"/>
          </w:tcPr>
          <w:p w14:paraId="6C930861" w14:textId="5DDD3BC4" w:rsidR="0042649E" w:rsidRPr="004A160C" w:rsidRDefault="0042649E" w:rsidP="004A1671">
            <w:pPr>
              <w:tabs>
                <w:tab w:val="left" w:pos="2792"/>
              </w:tabs>
              <w:rPr>
                <w:rFonts w:ascii="Arial" w:hAnsi="Arial" w:cs="Arial"/>
                <w:sz w:val="20"/>
                <w:szCs w:val="20"/>
              </w:rPr>
            </w:pPr>
            <w:r>
              <w:rPr>
                <w:rFonts w:ascii="Arial" w:hAnsi="Arial" w:cs="Arial"/>
                <w:sz w:val="20"/>
                <w:szCs w:val="20"/>
              </w:rPr>
              <w:t xml:space="preserve">Wholesale Tariff Document </w:t>
            </w:r>
            <w:r w:rsidR="00212560">
              <w:rPr>
                <w:rFonts w:ascii="Arial" w:hAnsi="Arial" w:cs="Arial"/>
                <w:sz w:val="20"/>
                <w:szCs w:val="20"/>
              </w:rPr>
              <w:t>Introduction.</w:t>
            </w:r>
            <w:r>
              <w:rPr>
                <w:rFonts w:ascii="Arial" w:hAnsi="Arial" w:cs="Arial"/>
                <w:sz w:val="20"/>
                <w:szCs w:val="20"/>
              </w:rPr>
              <w:t>………………………………………………………………</w:t>
            </w:r>
            <w:r w:rsidR="00212560">
              <w:rPr>
                <w:rFonts w:ascii="Arial" w:hAnsi="Arial" w:cs="Arial"/>
                <w:sz w:val="20"/>
                <w:szCs w:val="20"/>
              </w:rPr>
              <w:t>….</w:t>
            </w:r>
          </w:p>
        </w:tc>
        <w:tc>
          <w:tcPr>
            <w:tcW w:w="728" w:type="dxa"/>
            <w:vAlign w:val="center"/>
          </w:tcPr>
          <w:p w14:paraId="5FB56E71" w14:textId="001AB42E" w:rsidR="0042649E" w:rsidRPr="004A160C" w:rsidRDefault="0042649E" w:rsidP="004A160C">
            <w:pPr>
              <w:tabs>
                <w:tab w:val="left" w:pos="2792"/>
              </w:tabs>
              <w:jc w:val="center"/>
              <w:rPr>
                <w:rFonts w:ascii="Arial" w:hAnsi="Arial" w:cs="Arial"/>
                <w:sz w:val="20"/>
                <w:szCs w:val="20"/>
              </w:rPr>
            </w:pPr>
            <w:r>
              <w:rPr>
                <w:rFonts w:ascii="Arial" w:hAnsi="Arial" w:cs="Arial"/>
                <w:sz w:val="20"/>
                <w:szCs w:val="20"/>
              </w:rPr>
              <w:t>4</w:t>
            </w:r>
          </w:p>
        </w:tc>
      </w:tr>
      <w:tr w:rsidR="004A160C" w14:paraId="52B33993" w14:textId="77777777" w:rsidTr="00846B00">
        <w:tc>
          <w:tcPr>
            <w:tcW w:w="917" w:type="dxa"/>
            <w:vAlign w:val="center"/>
          </w:tcPr>
          <w:p w14:paraId="3A1959BB" w14:textId="5AAE97B2" w:rsidR="004A160C" w:rsidRPr="004A160C" w:rsidRDefault="00D11814" w:rsidP="00831936">
            <w:pPr>
              <w:tabs>
                <w:tab w:val="left" w:pos="2792"/>
              </w:tabs>
              <w:rPr>
                <w:rFonts w:ascii="Arial" w:hAnsi="Arial" w:cs="Arial"/>
                <w:sz w:val="20"/>
                <w:szCs w:val="20"/>
              </w:rPr>
            </w:pPr>
            <w:r>
              <w:rPr>
                <w:rFonts w:ascii="Arial" w:hAnsi="Arial" w:cs="Arial"/>
                <w:sz w:val="20"/>
                <w:szCs w:val="20"/>
              </w:rPr>
              <w:t>Part A</w:t>
            </w:r>
          </w:p>
        </w:tc>
        <w:tc>
          <w:tcPr>
            <w:tcW w:w="7995" w:type="dxa"/>
            <w:vAlign w:val="center"/>
          </w:tcPr>
          <w:p w14:paraId="79942901" w14:textId="3CF0AC3C" w:rsidR="004A160C" w:rsidRPr="004A160C" w:rsidRDefault="00D11814" w:rsidP="00D11814">
            <w:pPr>
              <w:tabs>
                <w:tab w:val="left" w:pos="2792"/>
              </w:tabs>
              <w:rPr>
                <w:rFonts w:ascii="Arial" w:hAnsi="Arial" w:cs="Arial"/>
                <w:sz w:val="20"/>
                <w:szCs w:val="20"/>
              </w:rPr>
            </w:pPr>
            <w:r>
              <w:rPr>
                <w:rFonts w:ascii="Arial" w:hAnsi="Arial" w:cs="Arial"/>
                <w:sz w:val="20"/>
                <w:szCs w:val="20"/>
              </w:rPr>
              <w:t xml:space="preserve">Primary </w:t>
            </w:r>
            <w:r w:rsidR="00336421">
              <w:rPr>
                <w:rFonts w:ascii="Arial" w:hAnsi="Arial" w:cs="Arial"/>
                <w:sz w:val="20"/>
                <w:szCs w:val="20"/>
              </w:rPr>
              <w:t>c</w:t>
            </w:r>
            <w:r>
              <w:rPr>
                <w:rFonts w:ascii="Arial" w:hAnsi="Arial" w:cs="Arial"/>
                <w:sz w:val="20"/>
                <w:szCs w:val="20"/>
              </w:rPr>
              <w:t xml:space="preserve">harges </w:t>
            </w:r>
            <w:r w:rsidR="00336421">
              <w:rPr>
                <w:rFonts w:ascii="Arial" w:hAnsi="Arial" w:cs="Arial"/>
                <w:sz w:val="20"/>
                <w:szCs w:val="20"/>
              </w:rPr>
              <w:t>s</w:t>
            </w:r>
            <w:r>
              <w:rPr>
                <w:rFonts w:ascii="Arial" w:hAnsi="Arial" w:cs="Arial"/>
                <w:sz w:val="20"/>
                <w:szCs w:val="20"/>
              </w:rPr>
              <w:t>cheme……………………………………………………………</w:t>
            </w:r>
            <w:r w:rsidR="0042649E">
              <w:rPr>
                <w:rFonts w:ascii="Arial" w:hAnsi="Arial" w:cs="Arial"/>
                <w:sz w:val="20"/>
                <w:szCs w:val="20"/>
              </w:rPr>
              <w:t>………</w:t>
            </w:r>
            <w:proofErr w:type="gramStart"/>
            <w:r w:rsidR="0042649E">
              <w:rPr>
                <w:rFonts w:ascii="Arial" w:hAnsi="Arial" w:cs="Arial"/>
                <w:sz w:val="20"/>
                <w:szCs w:val="20"/>
              </w:rPr>
              <w:t>…</w:t>
            </w:r>
            <w:r w:rsidR="00941818">
              <w:rPr>
                <w:rFonts w:ascii="Arial" w:hAnsi="Arial" w:cs="Arial"/>
                <w:sz w:val="20"/>
                <w:szCs w:val="20"/>
              </w:rPr>
              <w:t>..</w:t>
            </w:r>
            <w:proofErr w:type="gramEnd"/>
          </w:p>
        </w:tc>
        <w:tc>
          <w:tcPr>
            <w:tcW w:w="728" w:type="dxa"/>
            <w:vAlign w:val="center"/>
          </w:tcPr>
          <w:p w14:paraId="43F615E8" w14:textId="7117DEB9" w:rsidR="004A160C" w:rsidRPr="004A160C" w:rsidRDefault="00D11814" w:rsidP="004A160C">
            <w:pPr>
              <w:tabs>
                <w:tab w:val="left" w:pos="2792"/>
              </w:tabs>
              <w:jc w:val="center"/>
              <w:rPr>
                <w:rFonts w:ascii="Arial" w:hAnsi="Arial" w:cs="Arial"/>
                <w:sz w:val="20"/>
                <w:szCs w:val="20"/>
              </w:rPr>
            </w:pPr>
            <w:r>
              <w:rPr>
                <w:rFonts w:ascii="Arial" w:hAnsi="Arial" w:cs="Arial"/>
                <w:sz w:val="20"/>
                <w:szCs w:val="20"/>
              </w:rPr>
              <w:t>5</w:t>
            </w:r>
          </w:p>
        </w:tc>
      </w:tr>
      <w:tr w:rsidR="004A160C" w14:paraId="33F20EDA" w14:textId="77777777" w:rsidTr="00846B00">
        <w:tc>
          <w:tcPr>
            <w:tcW w:w="917" w:type="dxa"/>
            <w:vAlign w:val="center"/>
          </w:tcPr>
          <w:p w14:paraId="40B4A381" w14:textId="142A74FF" w:rsidR="004A160C" w:rsidRPr="004A160C" w:rsidRDefault="00D11814" w:rsidP="00831936">
            <w:pPr>
              <w:tabs>
                <w:tab w:val="left" w:pos="2792"/>
              </w:tabs>
              <w:jc w:val="right"/>
              <w:rPr>
                <w:rFonts w:ascii="Arial" w:hAnsi="Arial" w:cs="Arial"/>
                <w:sz w:val="20"/>
                <w:szCs w:val="20"/>
              </w:rPr>
            </w:pPr>
            <w:r>
              <w:rPr>
                <w:rFonts w:ascii="Arial" w:hAnsi="Arial" w:cs="Arial"/>
                <w:sz w:val="20"/>
                <w:szCs w:val="20"/>
              </w:rPr>
              <w:t>A.1.0</w:t>
            </w:r>
          </w:p>
        </w:tc>
        <w:tc>
          <w:tcPr>
            <w:tcW w:w="7995" w:type="dxa"/>
            <w:vAlign w:val="center"/>
          </w:tcPr>
          <w:p w14:paraId="6CF1634D" w14:textId="4193534C" w:rsidR="004A160C" w:rsidRPr="004A160C" w:rsidRDefault="0042649E" w:rsidP="00C5333A">
            <w:pPr>
              <w:tabs>
                <w:tab w:val="left" w:pos="2792"/>
              </w:tabs>
              <w:rPr>
                <w:rFonts w:ascii="Arial" w:hAnsi="Arial" w:cs="Arial"/>
                <w:sz w:val="20"/>
                <w:szCs w:val="20"/>
              </w:rPr>
            </w:pPr>
            <w:proofErr w:type="gramStart"/>
            <w:r>
              <w:rPr>
                <w:rFonts w:ascii="Arial" w:hAnsi="Arial" w:cs="Arial"/>
                <w:sz w:val="20"/>
                <w:szCs w:val="20"/>
              </w:rPr>
              <w:t>Waste</w:t>
            </w:r>
            <w:r w:rsidR="00336421">
              <w:rPr>
                <w:rFonts w:ascii="Arial" w:hAnsi="Arial" w:cs="Arial"/>
                <w:sz w:val="20"/>
                <w:szCs w:val="20"/>
              </w:rPr>
              <w:t xml:space="preserve"> </w:t>
            </w:r>
            <w:r>
              <w:rPr>
                <w:rFonts w:ascii="Arial" w:hAnsi="Arial" w:cs="Arial"/>
                <w:sz w:val="20"/>
                <w:szCs w:val="20"/>
              </w:rPr>
              <w:t>water</w:t>
            </w:r>
            <w:proofErr w:type="gramEnd"/>
            <w:r>
              <w:rPr>
                <w:rFonts w:ascii="Arial" w:hAnsi="Arial" w:cs="Arial"/>
                <w:sz w:val="20"/>
                <w:szCs w:val="20"/>
              </w:rPr>
              <w:t xml:space="preserve"> wholesale charges scheme </w:t>
            </w:r>
            <w:r w:rsidR="00180866">
              <w:rPr>
                <w:rFonts w:ascii="Arial" w:hAnsi="Arial" w:cs="Arial"/>
                <w:sz w:val="20"/>
                <w:szCs w:val="20"/>
              </w:rPr>
              <w:t>202</w:t>
            </w:r>
            <w:r w:rsidR="00375583">
              <w:rPr>
                <w:rFonts w:ascii="Arial" w:hAnsi="Arial" w:cs="Arial"/>
                <w:sz w:val="20"/>
                <w:szCs w:val="20"/>
              </w:rPr>
              <w:t>3</w:t>
            </w:r>
            <w:r w:rsidR="00941818">
              <w:rPr>
                <w:rFonts w:ascii="Arial" w:hAnsi="Arial" w:cs="Arial"/>
                <w:sz w:val="20"/>
                <w:szCs w:val="20"/>
              </w:rPr>
              <w:t>……………………………………………….</w:t>
            </w:r>
          </w:p>
        </w:tc>
        <w:tc>
          <w:tcPr>
            <w:tcW w:w="728" w:type="dxa"/>
            <w:vAlign w:val="center"/>
          </w:tcPr>
          <w:p w14:paraId="037B8034" w14:textId="07AE3120"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08C1A834" w14:textId="77777777" w:rsidTr="00846B00">
        <w:tc>
          <w:tcPr>
            <w:tcW w:w="917" w:type="dxa"/>
            <w:vAlign w:val="center"/>
          </w:tcPr>
          <w:p w14:paraId="6335E09E" w14:textId="71A8D0A8"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A.1.1</w:t>
            </w:r>
          </w:p>
        </w:tc>
        <w:tc>
          <w:tcPr>
            <w:tcW w:w="7995" w:type="dxa"/>
            <w:vAlign w:val="center"/>
          </w:tcPr>
          <w:p w14:paraId="24F6F972" w14:textId="10C9D5E3" w:rsidR="004A160C" w:rsidRPr="004A160C" w:rsidRDefault="0042649E" w:rsidP="0042649E">
            <w:pPr>
              <w:tabs>
                <w:tab w:val="left" w:pos="2792"/>
              </w:tabs>
              <w:rPr>
                <w:rFonts w:ascii="Arial" w:hAnsi="Arial" w:cs="Arial"/>
                <w:sz w:val="20"/>
                <w:szCs w:val="20"/>
              </w:rPr>
            </w:pPr>
            <w:r>
              <w:rPr>
                <w:rFonts w:ascii="Arial" w:hAnsi="Arial" w:cs="Arial"/>
                <w:sz w:val="20"/>
                <w:szCs w:val="20"/>
              </w:rPr>
              <w:t>Interpretation</w:t>
            </w:r>
            <w:r w:rsidR="00E75F17">
              <w:rPr>
                <w:rFonts w:ascii="Arial" w:hAnsi="Arial" w:cs="Arial"/>
                <w:sz w:val="20"/>
                <w:szCs w:val="20"/>
              </w:rPr>
              <w:t>……………………………………………………………………………………</w:t>
            </w:r>
            <w:r w:rsidR="00941818">
              <w:rPr>
                <w:rFonts w:ascii="Arial" w:hAnsi="Arial" w:cs="Arial"/>
                <w:sz w:val="20"/>
                <w:szCs w:val="20"/>
              </w:rPr>
              <w:t>…</w:t>
            </w:r>
          </w:p>
        </w:tc>
        <w:tc>
          <w:tcPr>
            <w:tcW w:w="728" w:type="dxa"/>
            <w:vAlign w:val="center"/>
          </w:tcPr>
          <w:p w14:paraId="31CC6168" w14:textId="39CCF7E7"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773492BC" w14:textId="77777777" w:rsidTr="00846B00">
        <w:tc>
          <w:tcPr>
            <w:tcW w:w="917" w:type="dxa"/>
            <w:vAlign w:val="center"/>
          </w:tcPr>
          <w:p w14:paraId="085E8911" w14:textId="6C347759"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A.1.2</w:t>
            </w:r>
          </w:p>
        </w:tc>
        <w:tc>
          <w:tcPr>
            <w:tcW w:w="7995" w:type="dxa"/>
            <w:vAlign w:val="center"/>
          </w:tcPr>
          <w:p w14:paraId="2DBD112A" w14:textId="12BDF390" w:rsidR="004A160C" w:rsidRPr="004A160C" w:rsidRDefault="0042649E" w:rsidP="0042649E">
            <w:pPr>
              <w:tabs>
                <w:tab w:val="left" w:pos="2792"/>
              </w:tabs>
              <w:rPr>
                <w:rFonts w:ascii="Arial" w:hAnsi="Arial" w:cs="Arial"/>
                <w:sz w:val="20"/>
                <w:szCs w:val="20"/>
              </w:rPr>
            </w:pPr>
            <w:r>
              <w:rPr>
                <w:rFonts w:ascii="Arial" w:hAnsi="Arial" w:cs="Arial"/>
                <w:sz w:val="20"/>
                <w:szCs w:val="20"/>
              </w:rPr>
              <w:t>General</w:t>
            </w:r>
            <w:r w:rsidR="00941818">
              <w:rPr>
                <w:rFonts w:ascii="Arial" w:hAnsi="Arial" w:cs="Arial"/>
                <w:sz w:val="20"/>
                <w:szCs w:val="20"/>
              </w:rPr>
              <w:t>…………………………………………………………………………………………….</w:t>
            </w:r>
          </w:p>
        </w:tc>
        <w:tc>
          <w:tcPr>
            <w:tcW w:w="728" w:type="dxa"/>
            <w:vAlign w:val="center"/>
          </w:tcPr>
          <w:p w14:paraId="494856BE" w14:textId="2D397363"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6EA2F03D" w14:textId="77777777" w:rsidTr="00846B00">
        <w:tc>
          <w:tcPr>
            <w:tcW w:w="917" w:type="dxa"/>
            <w:vAlign w:val="center"/>
          </w:tcPr>
          <w:p w14:paraId="36EE1CBA" w14:textId="5AB58553"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A.1.3</w:t>
            </w:r>
          </w:p>
        </w:tc>
        <w:tc>
          <w:tcPr>
            <w:tcW w:w="7995" w:type="dxa"/>
            <w:vAlign w:val="center"/>
          </w:tcPr>
          <w:p w14:paraId="67D0CABC" w14:textId="7B38D322" w:rsidR="004A160C" w:rsidRPr="004A160C" w:rsidRDefault="0042649E" w:rsidP="0042649E">
            <w:pPr>
              <w:tabs>
                <w:tab w:val="left" w:pos="2792"/>
              </w:tabs>
              <w:rPr>
                <w:rFonts w:ascii="Arial" w:hAnsi="Arial" w:cs="Arial"/>
                <w:sz w:val="20"/>
                <w:szCs w:val="20"/>
              </w:rPr>
            </w:pPr>
            <w:r>
              <w:rPr>
                <w:rFonts w:ascii="Arial" w:hAnsi="Arial" w:cs="Arial"/>
                <w:sz w:val="20"/>
                <w:szCs w:val="20"/>
              </w:rPr>
              <w:t>Other Charges</w:t>
            </w:r>
            <w:r w:rsidR="00941818">
              <w:rPr>
                <w:rFonts w:ascii="Arial" w:hAnsi="Arial" w:cs="Arial"/>
                <w:sz w:val="20"/>
                <w:szCs w:val="20"/>
              </w:rPr>
              <w:t>…………………………………………………………………………………….</w:t>
            </w:r>
          </w:p>
        </w:tc>
        <w:tc>
          <w:tcPr>
            <w:tcW w:w="728" w:type="dxa"/>
            <w:vAlign w:val="center"/>
          </w:tcPr>
          <w:p w14:paraId="4FFE6CDB" w14:textId="099CD58A"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6</w:t>
            </w:r>
          </w:p>
        </w:tc>
      </w:tr>
      <w:tr w:rsidR="004A160C" w14:paraId="3C536875" w14:textId="77777777" w:rsidTr="00846B00">
        <w:tc>
          <w:tcPr>
            <w:tcW w:w="917" w:type="dxa"/>
            <w:vAlign w:val="center"/>
          </w:tcPr>
          <w:p w14:paraId="7BE73676" w14:textId="3CE6BD64"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A.1.4</w:t>
            </w:r>
          </w:p>
        </w:tc>
        <w:tc>
          <w:tcPr>
            <w:tcW w:w="7995" w:type="dxa"/>
            <w:vAlign w:val="center"/>
          </w:tcPr>
          <w:p w14:paraId="7021590E" w14:textId="5D5BAC1A" w:rsidR="004A160C" w:rsidRPr="004A160C" w:rsidRDefault="0042649E" w:rsidP="0042649E">
            <w:pPr>
              <w:tabs>
                <w:tab w:val="left" w:pos="2792"/>
              </w:tabs>
              <w:rPr>
                <w:rFonts w:ascii="Arial" w:hAnsi="Arial" w:cs="Arial"/>
                <w:sz w:val="20"/>
                <w:szCs w:val="20"/>
              </w:rPr>
            </w:pPr>
            <w:r>
              <w:rPr>
                <w:rFonts w:ascii="Arial" w:hAnsi="Arial" w:cs="Arial"/>
                <w:sz w:val="20"/>
                <w:szCs w:val="20"/>
              </w:rPr>
              <w:t>Payment of charges by retailers</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4A626898" w14:textId="2E3A5246"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6</w:t>
            </w:r>
          </w:p>
        </w:tc>
      </w:tr>
      <w:tr w:rsidR="004A160C" w14:paraId="5EA701AF" w14:textId="77777777" w:rsidTr="00846B00">
        <w:tc>
          <w:tcPr>
            <w:tcW w:w="917" w:type="dxa"/>
            <w:vAlign w:val="center"/>
          </w:tcPr>
          <w:p w14:paraId="4C0B61FE" w14:textId="094C5E87" w:rsidR="004A160C" w:rsidRPr="004A160C" w:rsidRDefault="008C2976" w:rsidP="00831936">
            <w:pPr>
              <w:tabs>
                <w:tab w:val="left" w:pos="2792"/>
              </w:tabs>
              <w:jc w:val="right"/>
              <w:rPr>
                <w:rFonts w:ascii="Arial" w:hAnsi="Arial" w:cs="Arial"/>
                <w:sz w:val="20"/>
                <w:szCs w:val="20"/>
              </w:rPr>
            </w:pPr>
            <w:r>
              <w:rPr>
                <w:rFonts w:ascii="Arial" w:hAnsi="Arial" w:cs="Arial"/>
                <w:sz w:val="20"/>
                <w:szCs w:val="20"/>
              </w:rPr>
              <w:t>A.1.</w:t>
            </w:r>
            <w:r w:rsidR="00336421">
              <w:rPr>
                <w:rFonts w:ascii="Arial" w:hAnsi="Arial" w:cs="Arial"/>
                <w:sz w:val="20"/>
                <w:szCs w:val="20"/>
              </w:rPr>
              <w:t>5</w:t>
            </w:r>
          </w:p>
        </w:tc>
        <w:tc>
          <w:tcPr>
            <w:tcW w:w="7995" w:type="dxa"/>
            <w:vAlign w:val="center"/>
          </w:tcPr>
          <w:p w14:paraId="6BBB3BA4" w14:textId="593F4855" w:rsidR="004A160C" w:rsidRPr="004A160C" w:rsidRDefault="00336421" w:rsidP="0042649E">
            <w:pPr>
              <w:tabs>
                <w:tab w:val="left" w:pos="2792"/>
              </w:tabs>
              <w:rPr>
                <w:rFonts w:ascii="Arial" w:hAnsi="Arial" w:cs="Arial"/>
                <w:sz w:val="20"/>
                <w:szCs w:val="20"/>
              </w:rPr>
            </w:pPr>
            <w:r>
              <w:rPr>
                <w:rFonts w:ascii="Arial" w:hAnsi="Arial" w:cs="Arial"/>
                <w:sz w:val="20"/>
                <w:szCs w:val="20"/>
              </w:rPr>
              <w:t>Charge variations</w:t>
            </w:r>
            <w:r w:rsidR="00941818">
              <w:rPr>
                <w:rFonts w:ascii="Arial" w:hAnsi="Arial" w:cs="Arial"/>
                <w:sz w:val="20"/>
                <w:szCs w:val="20"/>
              </w:rPr>
              <w:t>…………………………………………………………………………………</w:t>
            </w:r>
          </w:p>
        </w:tc>
        <w:tc>
          <w:tcPr>
            <w:tcW w:w="728" w:type="dxa"/>
            <w:vAlign w:val="center"/>
          </w:tcPr>
          <w:p w14:paraId="08EBF1C7" w14:textId="5AB8360D"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7</w:t>
            </w:r>
          </w:p>
        </w:tc>
      </w:tr>
      <w:tr w:rsidR="004A160C" w14:paraId="6B281466" w14:textId="77777777" w:rsidTr="00846B00">
        <w:tc>
          <w:tcPr>
            <w:tcW w:w="917" w:type="dxa"/>
            <w:vAlign w:val="center"/>
          </w:tcPr>
          <w:p w14:paraId="47F87EB9" w14:textId="1AB90D52"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A.1.6</w:t>
            </w:r>
          </w:p>
        </w:tc>
        <w:tc>
          <w:tcPr>
            <w:tcW w:w="7995" w:type="dxa"/>
            <w:vAlign w:val="center"/>
          </w:tcPr>
          <w:p w14:paraId="23226B7B" w14:textId="619FE100" w:rsidR="004A160C" w:rsidRPr="004A160C" w:rsidRDefault="00336421" w:rsidP="0042649E">
            <w:pPr>
              <w:tabs>
                <w:tab w:val="left" w:pos="2792"/>
              </w:tabs>
              <w:rPr>
                <w:rFonts w:ascii="Arial" w:hAnsi="Arial" w:cs="Arial"/>
                <w:sz w:val="20"/>
                <w:szCs w:val="20"/>
              </w:rPr>
            </w:pPr>
            <w:r>
              <w:rPr>
                <w:rFonts w:ascii="Arial" w:hAnsi="Arial" w:cs="Arial"/>
                <w:sz w:val="20"/>
                <w:szCs w:val="20"/>
              </w:rPr>
              <w:t>Return to sewer allowance</w:t>
            </w:r>
            <w:r w:rsidR="00941818">
              <w:rPr>
                <w:rFonts w:ascii="Arial" w:hAnsi="Arial" w:cs="Arial"/>
                <w:sz w:val="20"/>
                <w:szCs w:val="20"/>
              </w:rPr>
              <w:t>………………………………………………………………………</w:t>
            </w:r>
          </w:p>
        </w:tc>
        <w:tc>
          <w:tcPr>
            <w:tcW w:w="728" w:type="dxa"/>
            <w:vAlign w:val="center"/>
          </w:tcPr>
          <w:p w14:paraId="7A821337" w14:textId="0021899A"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8</w:t>
            </w:r>
          </w:p>
        </w:tc>
      </w:tr>
      <w:tr w:rsidR="004A160C" w14:paraId="0D49BA62" w14:textId="77777777" w:rsidTr="00846B00">
        <w:tc>
          <w:tcPr>
            <w:tcW w:w="917" w:type="dxa"/>
            <w:vAlign w:val="center"/>
          </w:tcPr>
          <w:p w14:paraId="7BA36AC9" w14:textId="2F1597EF" w:rsidR="004A160C" w:rsidRPr="004A160C" w:rsidRDefault="00336421" w:rsidP="00831936">
            <w:pPr>
              <w:tabs>
                <w:tab w:val="left" w:pos="2792"/>
              </w:tabs>
              <w:rPr>
                <w:rFonts w:ascii="Arial" w:hAnsi="Arial" w:cs="Arial"/>
                <w:sz w:val="20"/>
                <w:szCs w:val="20"/>
              </w:rPr>
            </w:pPr>
            <w:r>
              <w:rPr>
                <w:rFonts w:ascii="Arial" w:hAnsi="Arial" w:cs="Arial"/>
                <w:sz w:val="20"/>
                <w:szCs w:val="20"/>
              </w:rPr>
              <w:t>Part B</w:t>
            </w:r>
          </w:p>
        </w:tc>
        <w:tc>
          <w:tcPr>
            <w:tcW w:w="7995" w:type="dxa"/>
            <w:vAlign w:val="center"/>
          </w:tcPr>
          <w:p w14:paraId="4744AA37" w14:textId="48FF4CD6" w:rsidR="004A160C" w:rsidRPr="004A160C" w:rsidRDefault="00336421" w:rsidP="0042649E">
            <w:pPr>
              <w:tabs>
                <w:tab w:val="left" w:pos="2792"/>
              </w:tabs>
              <w:rPr>
                <w:rFonts w:ascii="Arial" w:hAnsi="Arial" w:cs="Arial"/>
                <w:sz w:val="20"/>
                <w:szCs w:val="20"/>
              </w:rPr>
            </w:pPr>
            <w:r>
              <w:rPr>
                <w:rFonts w:ascii="Arial" w:hAnsi="Arial" w:cs="Arial"/>
                <w:sz w:val="20"/>
                <w:szCs w:val="20"/>
              </w:rPr>
              <w:t>Primary tariff schedule</w:t>
            </w:r>
            <w:r w:rsidR="00941818">
              <w:rPr>
                <w:rFonts w:ascii="Arial" w:hAnsi="Arial" w:cs="Arial"/>
                <w:sz w:val="20"/>
                <w:szCs w:val="20"/>
              </w:rPr>
              <w:t>…………………………………………………………………………...</w:t>
            </w:r>
          </w:p>
        </w:tc>
        <w:tc>
          <w:tcPr>
            <w:tcW w:w="728" w:type="dxa"/>
            <w:vAlign w:val="center"/>
          </w:tcPr>
          <w:p w14:paraId="3042C9F0" w14:textId="630A686F"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9</w:t>
            </w:r>
          </w:p>
        </w:tc>
      </w:tr>
      <w:tr w:rsidR="004A160C" w14:paraId="0D426C42" w14:textId="77777777" w:rsidTr="00846B00">
        <w:tc>
          <w:tcPr>
            <w:tcW w:w="917" w:type="dxa"/>
            <w:vAlign w:val="center"/>
          </w:tcPr>
          <w:p w14:paraId="607FEBEF" w14:textId="518431A3"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B.1.0</w:t>
            </w:r>
          </w:p>
        </w:tc>
        <w:tc>
          <w:tcPr>
            <w:tcW w:w="7995" w:type="dxa"/>
            <w:vAlign w:val="center"/>
          </w:tcPr>
          <w:p w14:paraId="268B21B8" w14:textId="297DADAA" w:rsidR="004A160C" w:rsidRPr="004A160C" w:rsidRDefault="00336421" w:rsidP="0042649E">
            <w:pPr>
              <w:tabs>
                <w:tab w:val="left" w:pos="2792"/>
              </w:tabs>
              <w:rPr>
                <w:rFonts w:ascii="Arial" w:hAnsi="Arial" w:cs="Arial"/>
                <w:sz w:val="20"/>
                <w:szCs w:val="20"/>
              </w:rPr>
            </w:pPr>
            <w:r>
              <w:rPr>
                <w:rFonts w:ascii="Arial" w:hAnsi="Arial" w:cs="Arial"/>
                <w:sz w:val="20"/>
                <w:szCs w:val="20"/>
              </w:rPr>
              <w:t xml:space="preserve">Waste water charges </w:t>
            </w:r>
            <w:r w:rsidR="00941818">
              <w:rPr>
                <w:rFonts w:ascii="Arial" w:hAnsi="Arial" w:cs="Arial"/>
                <w:sz w:val="20"/>
                <w:szCs w:val="20"/>
              </w:rPr>
              <w:t>……………………………………………………………………………</w:t>
            </w:r>
          </w:p>
        </w:tc>
        <w:tc>
          <w:tcPr>
            <w:tcW w:w="728" w:type="dxa"/>
            <w:vAlign w:val="center"/>
          </w:tcPr>
          <w:p w14:paraId="429946EB" w14:textId="790A0139"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9</w:t>
            </w:r>
          </w:p>
        </w:tc>
      </w:tr>
      <w:tr w:rsidR="004A160C" w14:paraId="39980B6E" w14:textId="77777777" w:rsidTr="00846B00">
        <w:tc>
          <w:tcPr>
            <w:tcW w:w="917" w:type="dxa"/>
            <w:vAlign w:val="center"/>
          </w:tcPr>
          <w:p w14:paraId="483FCD02" w14:textId="71AD7C50"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B.1.1</w:t>
            </w:r>
          </w:p>
        </w:tc>
        <w:tc>
          <w:tcPr>
            <w:tcW w:w="7995" w:type="dxa"/>
            <w:vAlign w:val="center"/>
          </w:tcPr>
          <w:p w14:paraId="52A8A5EF" w14:textId="44BC78FD" w:rsidR="004A160C" w:rsidRPr="004A160C" w:rsidRDefault="00336421" w:rsidP="0042649E">
            <w:pPr>
              <w:tabs>
                <w:tab w:val="left" w:pos="2792"/>
              </w:tabs>
              <w:rPr>
                <w:rFonts w:ascii="Arial" w:hAnsi="Arial" w:cs="Arial"/>
                <w:sz w:val="20"/>
                <w:szCs w:val="20"/>
              </w:rPr>
            </w:pPr>
            <w:r>
              <w:rPr>
                <w:rFonts w:ascii="Arial" w:hAnsi="Arial" w:cs="Arial"/>
                <w:sz w:val="20"/>
                <w:szCs w:val="20"/>
              </w:rPr>
              <w:t>Fixed charges per year</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2AF2A45B" w14:textId="204CD40E"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10</w:t>
            </w:r>
          </w:p>
        </w:tc>
      </w:tr>
      <w:tr w:rsidR="004A160C" w14:paraId="10293A9D" w14:textId="77777777" w:rsidTr="00846B00">
        <w:tc>
          <w:tcPr>
            <w:tcW w:w="917" w:type="dxa"/>
            <w:vAlign w:val="center"/>
          </w:tcPr>
          <w:p w14:paraId="18FB42AC" w14:textId="47E0C30F"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B.1.2</w:t>
            </w:r>
          </w:p>
        </w:tc>
        <w:tc>
          <w:tcPr>
            <w:tcW w:w="7995" w:type="dxa"/>
            <w:vAlign w:val="center"/>
          </w:tcPr>
          <w:p w14:paraId="7A396D70" w14:textId="73ACC808" w:rsidR="004A160C" w:rsidRPr="004A160C" w:rsidRDefault="00336421" w:rsidP="0042649E">
            <w:pPr>
              <w:tabs>
                <w:tab w:val="left" w:pos="2792"/>
              </w:tabs>
              <w:rPr>
                <w:rFonts w:ascii="Arial" w:hAnsi="Arial" w:cs="Arial"/>
                <w:sz w:val="20"/>
                <w:szCs w:val="20"/>
              </w:rPr>
            </w:pPr>
            <w:r>
              <w:rPr>
                <w:rFonts w:ascii="Arial" w:hAnsi="Arial" w:cs="Arial"/>
                <w:sz w:val="20"/>
                <w:szCs w:val="20"/>
              </w:rPr>
              <w:t>The volumetric charge</w:t>
            </w:r>
            <w:r w:rsidR="00941818">
              <w:rPr>
                <w:rFonts w:ascii="Arial" w:hAnsi="Arial" w:cs="Arial"/>
                <w:sz w:val="20"/>
                <w:szCs w:val="20"/>
              </w:rPr>
              <w:t>……………………………………………………………………………</w:t>
            </w:r>
          </w:p>
        </w:tc>
        <w:tc>
          <w:tcPr>
            <w:tcW w:w="728" w:type="dxa"/>
            <w:vAlign w:val="center"/>
          </w:tcPr>
          <w:p w14:paraId="0828614B" w14:textId="53A59102" w:rsidR="00C4610D" w:rsidRPr="004A160C" w:rsidRDefault="00941818" w:rsidP="00C4610D">
            <w:pPr>
              <w:tabs>
                <w:tab w:val="left" w:pos="2792"/>
              </w:tabs>
              <w:jc w:val="center"/>
              <w:rPr>
                <w:rFonts w:ascii="Arial" w:hAnsi="Arial" w:cs="Arial"/>
                <w:sz w:val="20"/>
                <w:szCs w:val="20"/>
              </w:rPr>
            </w:pPr>
            <w:r>
              <w:rPr>
                <w:rFonts w:ascii="Arial" w:hAnsi="Arial" w:cs="Arial"/>
                <w:sz w:val="20"/>
                <w:szCs w:val="20"/>
              </w:rPr>
              <w:t>11</w:t>
            </w:r>
          </w:p>
        </w:tc>
      </w:tr>
      <w:tr w:rsidR="00C4610D" w14:paraId="34EF7CA0" w14:textId="77777777" w:rsidTr="00846B00">
        <w:tc>
          <w:tcPr>
            <w:tcW w:w="917" w:type="dxa"/>
            <w:vAlign w:val="center"/>
          </w:tcPr>
          <w:p w14:paraId="5574BDE0" w14:textId="53DD1136" w:rsidR="00C4610D" w:rsidRDefault="00C4610D" w:rsidP="00831936">
            <w:pPr>
              <w:tabs>
                <w:tab w:val="left" w:pos="2792"/>
              </w:tabs>
              <w:jc w:val="right"/>
              <w:rPr>
                <w:rFonts w:ascii="Arial" w:hAnsi="Arial" w:cs="Arial"/>
                <w:sz w:val="20"/>
                <w:szCs w:val="20"/>
              </w:rPr>
            </w:pPr>
            <w:r>
              <w:rPr>
                <w:rFonts w:ascii="Arial" w:hAnsi="Arial" w:cs="Arial"/>
                <w:sz w:val="20"/>
                <w:szCs w:val="20"/>
              </w:rPr>
              <w:t>B.1.3</w:t>
            </w:r>
          </w:p>
        </w:tc>
        <w:tc>
          <w:tcPr>
            <w:tcW w:w="7995" w:type="dxa"/>
            <w:vAlign w:val="center"/>
          </w:tcPr>
          <w:p w14:paraId="7AA51F86" w14:textId="5793731F" w:rsidR="00C4610D" w:rsidRDefault="00C4610D" w:rsidP="0042649E">
            <w:pPr>
              <w:tabs>
                <w:tab w:val="left" w:pos="2792"/>
              </w:tabs>
              <w:rPr>
                <w:rFonts w:ascii="Arial" w:hAnsi="Arial" w:cs="Arial"/>
                <w:sz w:val="20"/>
                <w:szCs w:val="20"/>
              </w:rPr>
            </w:pPr>
            <w:r>
              <w:rPr>
                <w:rFonts w:ascii="Arial" w:hAnsi="Arial" w:cs="Arial"/>
                <w:sz w:val="20"/>
                <w:szCs w:val="20"/>
              </w:rPr>
              <w:t>Fixed charges – unmetered per year………………………………………………………</w:t>
            </w:r>
            <w:proofErr w:type="gramStart"/>
            <w:r>
              <w:rPr>
                <w:rFonts w:ascii="Arial" w:hAnsi="Arial" w:cs="Arial"/>
                <w:sz w:val="20"/>
                <w:szCs w:val="20"/>
              </w:rPr>
              <w:t>…..</w:t>
            </w:r>
            <w:proofErr w:type="gramEnd"/>
          </w:p>
        </w:tc>
        <w:tc>
          <w:tcPr>
            <w:tcW w:w="728" w:type="dxa"/>
            <w:vAlign w:val="center"/>
          </w:tcPr>
          <w:p w14:paraId="2BB76020" w14:textId="743A2D64" w:rsidR="00C4610D" w:rsidRDefault="00C4610D" w:rsidP="00C4610D">
            <w:pPr>
              <w:tabs>
                <w:tab w:val="left" w:pos="2792"/>
              </w:tabs>
              <w:jc w:val="center"/>
              <w:rPr>
                <w:rFonts w:ascii="Arial" w:hAnsi="Arial" w:cs="Arial"/>
                <w:sz w:val="20"/>
                <w:szCs w:val="20"/>
              </w:rPr>
            </w:pPr>
            <w:r>
              <w:rPr>
                <w:rFonts w:ascii="Arial" w:hAnsi="Arial" w:cs="Arial"/>
                <w:sz w:val="20"/>
                <w:szCs w:val="20"/>
              </w:rPr>
              <w:t>12</w:t>
            </w:r>
          </w:p>
        </w:tc>
      </w:tr>
      <w:tr w:rsidR="004A160C" w14:paraId="3173593D" w14:textId="77777777" w:rsidTr="00846B00">
        <w:tc>
          <w:tcPr>
            <w:tcW w:w="917" w:type="dxa"/>
            <w:vAlign w:val="center"/>
          </w:tcPr>
          <w:p w14:paraId="19182B28" w14:textId="62D0DD34"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4</w:t>
            </w:r>
          </w:p>
        </w:tc>
        <w:tc>
          <w:tcPr>
            <w:tcW w:w="7995" w:type="dxa"/>
            <w:vAlign w:val="center"/>
          </w:tcPr>
          <w:p w14:paraId="4F3C6456" w14:textId="0A5A1307" w:rsidR="004A160C" w:rsidRPr="004A160C" w:rsidRDefault="0090091A" w:rsidP="0042649E">
            <w:pPr>
              <w:tabs>
                <w:tab w:val="left" w:pos="2792"/>
              </w:tabs>
              <w:rPr>
                <w:rFonts w:ascii="Arial" w:hAnsi="Arial" w:cs="Arial"/>
                <w:sz w:val="20"/>
                <w:szCs w:val="20"/>
              </w:rPr>
            </w:pPr>
            <w:r>
              <w:rPr>
                <w:rFonts w:ascii="Arial" w:hAnsi="Arial" w:cs="Arial"/>
                <w:sz w:val="20"/>
                <w:szCs w:val="20"/>
              </w:rPr>
              <w:t>Assessed household charges……</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5AE22A08" w14:textId="5CE4328B"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3</w:t>
            </w:r>
          </w:p>
        </w:tc>
      </w:tr>
      <w:tr w:rsidR="004A160C" w14:paraId="237C394B" w14:textId="77777777" w:rsidTr="00846B00">
        <w:tc>
          <w:tcPr>
            <w:tcW w:w="917" w:type="dxa"/>
            <w:vAlign w:val="center"/>
          </w:tcPr>
          <w:p w14:paraId="313334F4" w14:textId="322082D3"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5</w:t>
            </w:r>
          </w:p>
        </w:tc>
        <w:tc>
          <w:tcPr>
            <w:tcW w:w="7995" w:type="dxa"/>
            <w:vAlign w:val="center"/>
          </w:tcPr>
          <w:p w14:paraId="14834C89" w14:textId="66C4DEC1" w:rsidR="004A160C" w:rsidRPr="004A160C" w:rsidRDefault="00C4610D" w:rsidP="0042649E">
            <w:pPr>
              <w:tabs>
                <w:tab w:val="left" w:pos="2792"/>
              </w:tabs>
              <w:rPr>
                <w:rFonts w:ascii="Arial" w:hAnsi="Arial" w:cs="Arial"/>
                <w:sz w:val="20"/>
                <w:szCs w:val="20"/>
              </w:rPr>
            </w:pPr>
            <w:r>
              <w:rPr>
                <w:rFonts w:ascii="Arial" w:hAnsi="Arial" w:cs="Arial"/>
                <w:sz w:val="20"/>
                <w:szCs w:val="20"/>
              </w:rPr>
              <w:t>Business</w:t>
            </w:r>
            <w:r w:rsidR="0090091A">
              <w:rPr>
                <w:rFonts w:ascii="Arial" w:hAnsi="Arial" w:cs="Arial"/>
                <w:sz w:val="20"/>
                <w:szCs w:val="20"/>
              </w:rPr>
              <w:t xml:space="preserve"> assessed………………………</w:t>
            </w:r>
            <w:r w:rsidR="00941818">
              <w:rPr>
                <w:rFonts w:ascii="Arial" w:hAnsi="Arial" w:cs="Arial"/>
                <w:sz w:val="20"/>
                <w:szCs w:val="20"/>
              </w:rPr>
              <w:t>……………………………………………………….</w:t>
            </w:r>
          </w:p>
        </w:tc>
        <w:tc>
          <w:tcPr>
            <w:tcW w:w="728" w:type="dxa"/>
            <w:vAlign w:val="center"/>
          </w:tcPr>
          <w:p w14:paraId="0C1BD9B9" w14:textId="2FA345DC"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4</w:t>
            </w:r>
          </w:p>
        </w:tc>
      </w:tr>
      <w:tr w:rsidR="004A160C" w14:paraId="2637FE1D" w14:textId="77777777" w:rsidTr="00846B00">
        <w:tc>
          <w:tcPr>
            <w:tcW w:w="917" w:type="dxa"/>
            <w:vAlign w:val="center"/>
          </w:tcPr>
          <w:p w14:paraId="6FAEB6BA" w14:textId="6D5DF708"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6</w:t>
            </w:r>
          </w:p>
        </w:tc>
        <w:tc>
          <w:tcPr>
            <w:tcW w:w="7995" w:type="dxa"/>
            <w:vAlign w:val="center"/>
          </w:tcPr>
          <w:p w14:paraId="1CA4FE86" w14:textId="123FE336" w:rsidR="004A160C" w:rsidRPr="004A160C" w:rsidRDefault="00C4610D" w:rsidP="0042649E">
            <w:pPr>
              <w:tabs>
                <w:tab w:val="left" w:pos="2792"/>
              </w:tabs>
              <w:rPr>
                <w:rFonts w:ascii="Arial" w:hAnsi="Arial" w:cs="Arial"/>
                <w:sz w:val="20"/>
                <w:szCs w:val="20"/>
              </w:rPr>
            </w:pPr>
            <w:r>
              <w:rPr>
                <w:rFonts w:ascii="Arial" w:hAnsi="Arial" w:cs="Arial"/>
                <w:sz w:val="20"/>
                <w:szCs w:val="20"/>
              </w:rPr>
              <w:t>Business</w:t>
            </w:r>
            <w:r w:rsidR="0090091A">
              <w:rPr>
                <w:rFonts w:ascii="Arial" w:hAnsi="Arial" w:cs="Arial"/>
                <w:sz w:val="20"/>
                <w:szCs w:val="20"/>
              </w:rPr>
              <w:t xml:space="preserve"> assessed bands…………</w:t>
            </w:r>
            <w:proofErr w:type="gramStart"/>
            <w:r w:rsidR="0090091A">
              <w:rPr>
                <w:rFonts w:ascii="Arial" w:hAnsi="Arial" w:cs="Arial"/>
                <w:sz w:val="20"/>
                <w:szCs w:val="20"/>
              </w:rPr>
              <w:t>…..</w:t>
            </w:r>
            <w:proofErr w:type="gramEnd"/>
            <w:r w:rsidR="00941818">
              <w:rPr>
                <w:rFonts w:ascii="Arial" w:hAnsi="Arial" w:cs="Arial"/>
                <w:sz w:val="20"/>
                <w:szCs w:val="20"/>
              </w:rPr>
              <w:t>………………………………………………………..</w:t>
            </w:r>
          </w:p>
        </w:tc>
        <w:tc>
          <w:tcPr>
            <w:tcW w:w="728" w:type="dxa"/>
            <w:vAlign w:val="center"/>
          </w:tcPr>
          <w:p w14:paraId="00C52563" w14:textId="315C4284"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4</w:t>
            </w:r>
          </w:p>
        </w:tc>
      </w:tr>
      <w:tr w:rsidR="004A160C" w14:paraId="5C6B8350" w14:textId="77777777" w:rsidTr="00846B00">
        <w:tc>
          <w:tcPr>
            <w:tcW w:w="917" w:type="dxa"/>
            <w:vAlign w:val="center"/>
          </w:tcPr>
          <w:p w14:paraId="4D1C6C63" w14:textId="115AE071"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7</w:t>
            </w:r>
          </w:p>
        </w:tc>
        <w:tc>
          <w:tcPr>
            <w:tcW w:w="7995" w:type="dxa"/>
            <w:vAlign w:val="center"/>
          </w:tcPr>
          <w:p w14:paraId="5676ECBD" w14:textId="4D6BEECD" w:rsidR="004A160C" w:rsidRPr="004A160C" w:rsidRDefault="00336421" w:rsidP="0042649E">
            <w:pPr>
              <w:tabs>
                <w:tab w:val="left" w:pos="2792"/>
              </w:tabs>
              <w:rPr>
                <w:rFonts w:ascii="Arial" w:hAnsi="Arial" w:cs="Arial"/>
                <w:sz w:val="20"/>
                <w:szCs w:val="20"/>
              </w:rPr>
            </w:pPr>
            <w:r>
              <w:rPr>
                <w:rFonts w:ascii="Arial" w:hAnsi="Arial" w:cs="Arial"/>
                <w:sz w:val="20"/>
                <w:szCs w:val="20"/>
              </w:rPr>
              <w:t xml:space="preserve">Business assessed </w:t>
            </w:r>
            <w:r w:rsidR="0090091A">
              <w:rPr>
                <w:rFonts w:ascii="Arial" w:hAnsi="Arial" w:cs="Arial"/>
                <w:sz w:val="20"/>
                <w:szCs w:val="20"/>
              </w:rPr>
              <w:t xml:space="preserve">volumetric </w:t>
            </w:r>
            <w:r>
              <w:rPr>
                <w:rFonts w:ascii="Arial" w:hAnsi="Arial" w:cs="Arial"/>
                <w:sz w:val="20"/>
                <w:szCs w:val="20"/>
              </w:rPr>
              <w:t>charges</w:t>
            </w:r>
            <w:r w:rsidR="00941818">
              <w:rPr>
                <w:rFonts w:ascii="Arial" w:hAnsi="Arial" w:cs="Arial"/>
                <w:sz w:val="20"/>
                <w:szCs w:val="20"/>
              </w:rPr>
              <w:t>……………………………………………</w:t>
            </w:r>
            <w:proofErr w:type="gramStart"/>
            <w:r w:rsidR="00941818">
              <w:rPr>
                <w:rFonts w:ascii="Arial" w:hAnsi="Arial" w:cs="Arial"/>
                <w:sz w:val="20"/>
                <w:szCs w:val="20"/>
              </w:rPr>
              <w:t>…</w:t>
            </w:r>
            <w:r w:rsidR="0090091A">
              <w:rPr>
                <w:rFonts w:ascii="Arial" w:hAnsi="Arial" w:cs="Arial"/>
                <w:sz w:val="20"/>
                <w:szCs w:val="20"/>
              </w:rPr>
              <w:t>..</w:t>
            </w:r>
            <w:proofErr w:type="gramEnd"/>
            <w:r w:rsidR="00941818">
              <w:rPr>
                <w:rFonts w:ascii="Arial" w:hAnsi="Arial" w:cs="Arial"/>
                <w:sz w:val="20"/>
                <w:szCs w:val="20"/>
              </w:rPr>
              <w:t>………</w:t>
            </w:r>
          </w:p>
        </w:tc>
        <w:tc>
          <w:tcPr>
            <w:tcW w:w="728" w:type="dxa"/>
            <w:vAlign w:val="center"/>
          </w:tcPr>
          <w:p w14:paraId="2B64FDDB" w14:textId="6991525D"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5</w:t>
            </w:r>
          </w:p>
        </w:tc>
      </w:tr>
      <w:tr w:rsidR="004A160C" w14:paraId="455DAFD7" w14:textId="77777777" w:rsidTr="00846B00">
        <w:tc>
          <w:tcPr>
            <w:tcW w:w="917" w:type="dxa"/>
            <w:vAlign w:val="center"/>
          </w:tcPr>
          <w:p w14:paraId="23997C37" w14:textId="3559C7CF"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8</w:t>
            </w:r>
          </w:p>
        </w:tc>
        <w:tc>
          <w:tcPr>
            <w:tcW w:w="7995" w:type="dxa"/>
            <w:vAlign w:val="center"/>
          </w:tcPr>
          <w:p w14:paraId="523F0FE3" w14:textId="2F717083" w:rsidR="004A160C" w:rsidRPr="004A160C" w:rsidRDefault="0090091A" w:rsidP="0042649E">
            <w:pPr>
              <w:tabs>
                <w:tab w:val="left" w:pos="2792"/>
              </w:tabs>
              <w:rPr>
                <w:rFonts w:ascii="Arial" w:hAnsi="Arial" w:cs="Arial"/>
                <w:sz w:val="20"/>
                <w:szCs w:val="20"/>
              </w:rPr>
            </w:pPr>
            <w:r>
              <w:rPr>
                <w:rFonts w:ascii="Arial" w:hAnsi="Arial" w:cs="Arial"/>
                <w:sz w:val="20"/>
                <w:szCs w:val="20"/>
              </w:rPr>
              <w:t>Business assessed fixed charges per year……………………………………………………</w:t>
            </w:r>
          </w:p>
        </w:tc>
        <w:tc>
          <w:tcPr>
            <w:tcW w:w="728" w:type="dxa"/>
            <w:vAlign w:val="center"/>
          </w:tcPr>
          <w:p w14:paraId="5851635C" w14:textId="4DB1753D"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5</w:t>
            </w:r>
          </w:p>
        </w:tc>
      </w:tr>
      <w:tr w:rsidR="004A160C" w14:paraId="11A27EAC" w14:textId="77777777" w:rsidTr="00846B00">
        <w:tc>
          <w:tcPr>
            <w:tcW w:w="917" w:type="dxa"/>
            <w:vAlign w:val="center"/>
          </w:tcPr>
          <w:p w14:paraId="362FA8C4" w14:textId="7940E69F"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w:t>
            </w:r>
            <w:r w:rsidR="00C4610D">
              <w:rPr>
                <w:rFonts w:ascii="Arial" w:hAnsi="Arial" w:cs="Arial"/>
                <w:sz w:val="20"/>
                <w:szCs w:val="20"/>
              </w:rPr>
              <w:t>1</w:t>
            </w:r>
            <w:r>
              <w:rPr>
                <w:rFonts w:ascii="Arial" w:hAnsi="Arial" w:cs="Arial"/>
                <w:sz w:val="20"/>
                <w:szCs w:val="20"/>
              </w:rPr>
              <w:t>.</w:t>
            </w:r>
            <w:r w:rsidR="00C4610D">
              <w:rPr>
                <w:rFonts w:ascii="Arial" w:hAnsi="Arial" w:cs="Arial"/>
                <w:sz w:val="20"/>
                <w:szCs w:val="20"/>
              </w:rPr>
              <w:t>9</w:t>
            </w:r>
          </w:p>
        </w:tc>
        <w:tc>
          <w:tcPr>
            <w:tcW w:w="7995" w:type="dxa"/>
            <w:vAlign w:val="center"/>
          </w:tcPr>
          <w:p w14:paraId="5D6A42FD" w14:textId="33CE437D" w:rsidR="004A160C" w:rsidRPr="004A160C" w:rsidRDefault="0090091A" w:rsidP="0042649E">
            <w:pPr>
              <w:tabs>
                <w:tab w:val="left" w:pos="2792"/>
              </w:tabs>
              <w:rPr>
                <w:rFonts w:ascii="Arial" w:hAnsi="Arial" w:cs="Arial"/>
                <w:sz w:val="20"/>
                <w:szCs w:val="20"/>
              </w:rPr>
            </w:pPr>
            <w:r>
              <w:rPr>
                <w:rFonts w:ascii="Arial" w:hAnsi="Arial" w:cs="Arial"/>
                <w:sz w:val="20"/>
                <w:szCs w:val="20"/>
              </w:rPr>
              <w:t>Trade effluent charges………………………………………………………………………</w:t>
            </w:r>
            <w:proofErr w:type="gramStart"/>
            <w:r>
              <w:rPr>
                <w:rFonts w:ascii="Arial" w:hAnsi="Arial" w:cs="Arial"/>
                <w:sz w:val="20"/>
                <w:szCs w:val="20"/>
              </w:rPr>
              <w:t>…..</w:t>
            </w:r>
            <w:proofErr w:type="gramEnd"/>
          </w:p>
        </w:tc>
        <w:tc>
          <w:tcPr>
            <w:tcW w:w="728" w:type="dxa"/>
            <w:vAlign w:val="center"/>
          </w:tcPr>
          <w:p w14:paraId="5098D14E" w14:textId="039F3E3F"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6</w:t>
            </w:r>
          </w:p>
        </w:tc>
      </w:tr>
      <w:tr w:rsidR="004A160C" w14:paraId="2EDED656" w14:textId="77777777" w:rsidTr="00846B00">
        <w:tc>
          <w:tcPr>
            <w:tcW w:w="917" w:type="dxa"/>
            <w:vAlign w:val="center"/>
          </w:tcPr>
          <w:p w14:paraId="21E23E17" w14:textId="25CF7C1B"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0</w:t>
            </w:r>
          </w:p>
        </w:tc>
        <w:tc>
          <w:tcPr>
            <w:tcW w:w="7995" w:type="dxa"/>
            <w:vAlign w:val="center"/>
          </w:tcPr>
          <w:p w14:paraId="7F74B545" w14:textId="3D0BCE20" w:rsidR="004A160C" w:rsidRPr="004A160C" w:rsidRDefault="0090091A" w:rsidP="0042649E">
            <w:pPr>
              <w:tabs>
                <w:tab w:val="left" w:pos="2792"/>
              </w:tabs>
              <w:rPr>
                <w:rFonts w:ascii="Arial" w:hAnsi="Arial" w:cs="Arial"/>
                <w:sz w:val="20"/>
                <w:szCs w:val="20"/>
              </w:rPr>
            </w:pPr>
            <w:r>
              <w:rPr>
                <w:rFonts w:ascii="Arial" w:hAnsi="Arial" w:cs="Arial"/>
                <w:sz w:val="20"/>
                <w:szCs w:val="20"/>
              </w:rPr>
              <w:t>Standard volume charge per cubic metre or kg of trade effluent……………………………</w:t>
            </w:r>
          </w:p>
        </w:tc>
        <w:tc>
          <w:tcPr>
            <w:tcW w:w="728" w:type="dxa"/>
            <w:vAlign w:val="center"/>
          </w:tcPr>
          <w:p w14:paraId="3B5B0BC2" w14:textId="65EF8798"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6</w:t>
            </w:r>
          </w:p>
        </w:tc>
      </w:tr>
      <w:tr w:rsidR="004A160C" w14:paraId="7FB47381" w14:textId="77777777" w:rsidTr="00846B00">
        <w:tc>
          <w:tcPr>
            <w:tcW w:w="917" w:type="dxa"/>
            <w:vAlign w:val="center"/>
          </w:tcPr>
          <w:p w14:paraId="35D1784F" w14:textId="4F3D9E37"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1</w:t>
            </w:r>
          </w:p>
        </w:tc>
        <w:tc>
          <w:tcPr>
            <w:tcW w:w="7995" w:type="dxa"/>
            <w:vAlign w:val="center"/>
          </w:tcPr>
          <w:p w14:paraId="40014B16" w14:textId="525432D2" w:rsidR="004A160C" w:rsidRPr="004A160C" w:rsidRDefault="0090091A" w:rsidP="0042649E">
            <w:pPr>
              <w:tabs>
                <w:tab w:val="left" w:pos="2792"/>
              </w:tabs>
              <w:rPr>
                <w:rFonts w:ascii="Arial" w:hAnsi="Arial" w:cs="Arial"/>
                <w:sz w:val="20"/>
                <w:szCs w:val="20"/>
              </w:rPr>
            </w:pPr>
            <w:r>
              <w:rPr>
                <w:rFonts w:ascii="Arial" w:hAnsi="Arial" w:cs="Arial"/>
                <w:sz w:val="20"/>
                <w:szCs w:val="20"/>
              </w:rPr>
              <w:t>Average strength factors used in trade effluent formula…………………………………</w:t>
            </w:r>
            <w:proofErr w:type="gramStart"/>
            <w:r>
              <w:rPr>
                <w:rFonts w:ascii="Arial" w:hAnsi="Arial" w:cs="Arial"/>
                <w:sz w:val="20"/>
                <w:szCs w:val="20"/>
              </w:rPr>
              <w:t>…..</w:t>
            </w:r>
            <w:proofErr w:type="gramEnd"/>
          </w:p>
        </w:tc>
        <w:tc>
          <w:tcPr>
            <w:tcW w:w="728" w:type="dxa"/>
            <w:vAlign w:val="center"/>
          </w:tcPr>
          <w:p w14:paraId="0CAA6369" w14:textId="5C1530ED" w:rsidR="004A160C" w:rsidRPr="004A160C" w:rsidRDefault="00A45EBD"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7</w:t>
            </w:r>
          </w:p>
        </w:tc>
      </w:tr>
      <w:tr w:rsidR="004A160C" w14:paraId="53E396C1" w14:textId="77777777" w:rsidTr="00846B00">
        <w:tc>
          <w:tcPr>
            <w:tcW w:w="917" w:type="dxa"/>
            <w:vAlign w:val="center"/>
          </w:tcPr>
          <w:p w14:paraId="48C01D30" w14:textId="2D4070B1" w:rsidR="004A160C" w:rsidRPr="004A160C" w:rsidRDefault="00A45EBD"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2</w:t>
            </w:r>
          </w:p>
        </w:tc>
        <w:tc>
          <w:tcPr>
            <w:tcW w:w="7995" w:type="dxa"/>
            <w:vAlign w:val="center"/>
          </w:tcPr>
          <w:p w14:paraId="0D2CA810" w14:textId="2D8DEAED" w:rsidR="004A160C" w:rsidRPr="004A160C" w:rsidRDefault="00A45EBD" w:rsidP="0042649E">
            <w:pPr>
              <w:tabs>
                <w:tab w:val="left" w:pos="2792"/>
              </w:tabs>
              <w:rPr>
                <w:rFonts w:ascii="Arial" w:hAnsi="Arial" w:cs="Arial"/>
                <w:sz w:val="20"/>
                <w:szCs w:val="20"/>
              </w:rPr>
            </w:pPr>
            <w:r>
              <w:rPr>
                <w:rFonts w:ascii="Arial" w:hAnsi="Arial" w:cs="Arial"/>
                <w:sz w:val="20"/>
                <w:szCs w:val="20"/>
              </w:rPr>
              <w:t>Standard strength discharges (mg/</w:t>
            </w:r>
            <w:proofErr w:type="gramStart"/>
            <w:r>
              <w:rPr>
                <w:rFonts w:ascii="Arial" w:hAnsi="Arial" w:cs="Arial"/>
                <w:sz w:val="20"/>
                <w:szCs w:val="20"/>
              </w:rPr>
              <w:t>l)…</w:t>
            </w:r>
            <w:proofErr w:type="gramEnd"/>
            <w:r>
              <w:rPr>
                <w:rFonts w:ascii="Arial" w:hAnsi="Arial" w:cs="Arial"/>
                <w:sz w:val="20"/>
                <w:szCs w:val="20"/>
              </w:rPr>
              <w:t>………………………………………………………...</w:t>
            </w:r>
          </w:p>
        </w:tc>
        <w:tc>
          <w:tcPr>
            <w:tcW w:w="728" w:type="dxa"/>
            <w:vAlign w:val="center"/>
          </w:tcPr>
          <w:p w14:paraId="05381754" w14:textId="6DEA9C18" w:rsidR="004A160C" w:rsidRPr="004A160C" w:rsidRDefault="00A45EBD"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7</w:t>
            </w:r>
          </w:p>
        </w:tc>
      </w:tr>
      <w:tr w:rsidR="004A160C" w14:paraId="37F05C1B" w14:textId="77777777" w:rsidTr="00846B00">
        <w:tc>
          <w:tcPr>
            <w:tcW w:w="917" w:type="dxa"/>
            <w:vAlign w:val="center"/>
          </w:tcPr>
          <w:p w14:paraId="5D1B4E84" w14:textId="7827C66F" w:rsidR="004A160C" w:rsidRPr="004A160C" w:rsidRDefault="000935EC"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3</w:t>
            </w:r>
          </w:p>
        </w:tc>
        <w:tc>
          <w:tcPr>
            <w:tcW w:w="7995" w:type="dxa"/>
            <w:vAlign w:val="center"/>
          </w:tcPr>
          <w:p w14:paraId="7BA00713" w14:textId="453A1203" w:rsidR="004A160C" w:rsidRPr="004A160C" w:rsidRDefault="00846B00" w:rsidP="0042649E">
            <w:pPr>
              <w:tabs>
                <w:tab w:val="left" w:pos="2792"/>
              </w:tabs>
              <w:rPr>
                <w:rFonts w:ascii="Arial" w:hAnsi="Arial" w:cs="Arial"/>
                <w:sz w:val="20"/>
                <w:szCs w:val="20"/>
              </w:rPr>
            </w:pPr>
            <w:r>
              <w:rPr>
                <w:rFonts w:ascii="Arial" w:hAnsi="Arial" w:cs="Arial"/>
                <w:sz w:val="20"/>
                <w:szCs w:val="20"/>
              </w:rPr>
              <w:t>Other trade effluent charges…………………………………………………………………….</w:t>
            </w:r>
          </w:p>
        </w:tc>
        <w:tc>
          <w:tcPr>
            <w:tcW w:w="728" w:type="dxa"/>
            <w:vAlign w:val="center"/>
          </w:tcPr>
          <w:p w14:paraId="453C5E09" w14:textId="4AFA3C92"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8</w:t>
            </w:r>
          </w:p>
        </w:tc>
      </w:tr>
      <w:tr w:rsidR="004A160C" w14:paraId="5A08F951" w14:textId="77777777" w:rsidTr="00846B00">
        <w:tc>
          <w:tcPr>
            <w:tcW w:w="917" w:type="dxa"/>
            <w:vAlign w:val="center"/>
          </w:tcPr>
          <w:p w14:paraId="1B0A53AC" w14:textId="455CEAA0"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4</w:t>
            </w:r>
          </w:p>
        </w:tc>
        <w:tc>
          <w:tcPr>
            <w:tcW w:w="7995" w:type="dxa"/>
            <w:vAlign w:val="center"/>
          </w:tcPr>
          <w:p w14:paraId="7638BB7B" w14:textId="68FA348F" w:rsidR="004A160C" w:rsidRPr="004A160C" w:rsidRDefault="00846B00" w:rsidP="0042649E">
            <w:pPr>
              <w:tabs>
                <w:tab w:val="left" w:pos="2792"/>
              </w:tabs>
              <w:rPr>
                <w:rFonts w:ascii="Arial" w:hAnsi="Arial" w:cs="Arial"/>
                <w:sz w:val="20"/>
                <w:szCs w:val="20"/>
              </w:rPr>
            </w:pPr>
            <w:r>
              <w:rPr>
                <w:rFonts w:ascii="Arial" w:hAnsi="Arial" w:cs="Arial"/>
                <w:sz w:val="20"/>
                <w:szCs w:val="20"/>
              </w:rPr>
              <w:t>Trade effluent fixed charges…………………………………………………………………….</w:t>
            </w:r>
          </w:p>
        </w:tc>
        <w:tc>
          <w:tcPr>
            <w:tcW w:w="728" w:type="dxa"/>
            <w:vAlign w:val="center"/>
          </w:tcPr>
          <w:p w14:paraId="797D6141" w14:textId="7F3B96C3"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8</w:t>
            </w:r>
          </w:p>
        </w:tc>
      </w:tr>
      <w:tr w:rsidR="004A160C" w14:paraId="17EEA727" w14:textId="77777777" w:rsidTr="00846B00">
        <w:tc>
          <w:tcPr>
            <w:tcW w:w="917" w:type="dxa"/>
            <w:vAlign w:val="center"/>
          </w:tcPr>
          <w:p w14:paraId="25517843" w14:textId="144F4E42"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5</w:t>
            </w:r>
          </w:p>
        </w:tc>
        <w:tc>
          <w:tcPr>
            <w:tcW w:w="7995" w:type="dxa"/>
            <w:vAlign w:val="center"/>
          </w:tcPr>
          <w:p w14:paraId="417F6207" w14:textId="6F627DDE" w:rsidR="00846B00" w:rsidRPr="004A160C" w:rsidRDefault="00846B00" w:rsidP="0042649E">
            <w:pPr>
              <w:tabs>
                <w:tab w:val="left" w:pos="2792"/>
              </w:tabs>
              <w:rPr>
                <w:rFonts w:ascii="Arial" w:hAnsi="Arial" w:cs="Arial"/>
                <w:sz w:val="20"/>
                <w:szCs w:val="20"/>
              </w:rPr>
            </w:pPr>
            <w:r>
              <w:rPr>
                <w:rFonts w:ascii="Arial" w:hAnsi="Arial" w:cs="Arial"/>
                <w:sz w:val="20"/>
                <w:szCs w:val="20"/>
              </w:rPr>
              <w:t>Large volume trade effluent user tariff…………………………………………………………</w:t>
            </w:r>
          </w:p>
        </w:tc>
        <w:tc>
          <w:tcPr>
            <w:tcW w:w="728" w:type="dxa"/>
            <w:vAlign w:val="center"/>
          </w:tcPr>
          <w:p w14:paraId="4EE08F84" w14:textId="4E7017EE"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9</w:t>
            </w:r>
          </w:p>
        </w:tc>
      </w:tr>
      <w:tr w:rsidR="004A160C" w14:paraId="06C792D6" w14:textId="77777777" w:rsidTr="00846B00">
        <w:tc>
          <w:tcPr>
            <w:tcW w:w="917" w:type="dxa"/>
            <w:vAlign w:val="center"/>
          </w:tcPr>
          <w:p w14:paraId="398F41BC" w14:textId="7EDC1E32"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6</w:t>
            </w:r>
          </w:p>
        </w:tc>
        <w:tc>
          <w:tcPr>
            <w:tcW w:w="7995" w:type="dxa"/>
            <w:vAlign w:val="center"/>
          </w:tcPr>
          <w:p w14:paraId="47D99679" w14:textId="71574690" w:rsidR="004A160C" w:rsidRPr="004A160C" w:rsidRDefault="00846B00" w:rsidP="0042649E">
            <w:pPr>
              <w:tabs>
                <w:tab w:val="left" w:pos="2792"/>
              </w:tabs>
              <w:rPr>
                <w:rFonts w:ascii="Arial" w:hAnsi="Arial" w:cs="Arial"/>
                <w:sz w:val="20"/>
                <w:szCs w:val="20"/>
              </w:rPr>
            </w:pPr>
            <w:r>
              <w:rPr>
                <w:rFonts w:ascii="Arial" w:hAnsi="Arial" w:cs="Arial"/>
                <w:sz w:val="20"/>
                <w:szCs w:val="20"/>
              </w:rPr>
              <w:t>Large user volume charge per cubic meter or kg of trade effluent………………………….</w:t>
            </w:r>
          </w:p>
        </w:tc>
        <w:tc>
          <w:tcPr>
            <w:tcW w:w="728" w:type="dxa"/>
            <w:vAlign w:val="center"/>
          </w:tcPr>
          <w:p w14:paraId="016E7D3F" w14:textId="314A27C1"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9</w:t>
            </w:r>
          </w:p>
        </w:tc>
      </w:tr>
      <w:tr w:rsidR="00C4610D" w14:paraId="6DA45D9B" w14:textId="77777777" w:rsidTr="00846B00">
        <w:tc>
          <w:tcPr>
            <w:tcW w:w="917" w:type="dxa"/>
            <w:vAlign w:val="center"/>
          </w:tcPr>
          <w:p w14:paraId="02109717" w14:textId="4C6972A9" w:rsidR="00C4610D" w:rsidRDefault="00C4610D" w:rsidP="00831936">
            <w:pPr>
              <w:tabs>
                <w:tab w:val="left" w:pos="2792"/>
              </w:tabs>
              <w:jc w:val="right"/>
              <w:rPr>
                <w:rFonts w:ascii="Arial" w:hAnsi="Arial" w:cs="Arial"/>
                <w:sz w:val="20"/>
                <w:szCs w:val="20"/>
              </w:rPr>
            </w:pPr>
            <w:r>
              <w:rPr>
                <w:rFonts w:ascii="Arial" w:hAnsi="Arial" w:cs="Arial"/>
                <w:sz w:val="20"/>
                <w:szCs w:val="20"/>
              </w:rPr>
              <w:t>B.2.7</w:t>
            </w:r>
          </w:p>
        </w:tc>
        <w:tc>
          <w:tcPr>
            <w:tcW w:w="7995" w:type="dxa"/>
            <w:vAlign w:val="center"/>
          </w:tcPr>
          <w:p w14:paraId="5180F4D8" w14:textId="0D3479E6" w:rsidR="00C4610D" w:rsidRDefault="00C4610D" w:rsidP="0042649E">
            <w:pPr>
              <w:tabs>
                <w:tab w:val="left" w:pos="2792"/>
              </w:tabs>
              <w:rPr>
                <w:rFonts w:ascii="Arial" w:hAnsi="Arial" w:cs="Arial"/>
                <w:sz w:val="20"/>
                <w:szCs w:val="20"/>
              </w:rPr>
            </w:pPr>
            <w:r>
              <w:rPr>
                <w:rFonts w:ascii="Arial" w:hAnsi="Arial" w:cs="Arial"/>
                <w:sz w:val="20"/>
                <w:szCs w:val="20"/>
              </w:rPr>
              <w:t>Calculated discharge…………………………………………………………………………….</w:t>
            </w:r>
          </w:p>
        </w:tc>
        <w:tc>
          <w:tcPr>
            <w:tcW w:w="728" w:type="dxa"/>
            <w:vAlign w:val="center"/>
          </w:tcPr>
          <w:p w14:paraId="5B3DD1BE" w14:textId="377A33FF" w:rsidR="00C4610D" w:rsidRDefault="00C4610D" w:rsidP="004A160C">
            <w:pPr>
              <w:tabs>
                <w:tab w:val="left" w:pos="2792"/>
              </w:tabs>
              <w:jc w:val="center"/>
              <w:rPr>
                <w:rFonts w:ascii="Arial" w:hAnsi="Arial" w:cs="Arial"/>
                <w:sz w:val="20"/>
                <w:szCs w:val="20"/>
              </w:rPr>
            </w:pPr>
            <w:r>
              <w:rPr>
                <w:rFonts w:ascii="Arial" w:hAnsi="Arial" w:cs="Arial"/>
                <w:sz w:val="20"/>
                <w:szCs w:val="20"/>
              </w:rPr>
              <w:t>19</w:t>
            </w:r>
          </w:p>
        </w:tc>
      </w:tr>
      <w:tr w:rsidR="004A160C" w14:paraId="08550AD1" w14:textId="77777777" w:rsidTr="00846B00">
        <w:tc>
          <w:tcPr>
            <w:tcW w:w="917" w:type="dxa"/>
            <w:vAlign w:val="center"/>
          </w:tcPr>
          <w:p w14:paraId="3158D105" w14:textId="0B540AEB"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8</w:t>
            </w:r>
          </w:p>
        </w:tc>
        <w:tc>
          <w:tcPr>
            <w:tcW w:w="7995" w:type="dxa"/>
            <w:vAlign w:val="center"/>
          </w:tcPr>
          <w:p w14:paraId="3757716A" w14:textId="2A289134" w:rsidR="004A160C" w:rsidRPr="004A160C" w:rsidRDefault="00846B00" w:rsidP="0042649E">
            <w:pPr>
              <w:tabs>
                <w:tab w:val="left" w:pos="2792"/>
              </w:tabs>
              <w:rPr>
                <w:rFonts w:ascii="Arial" w:hAnsi="Arial" w:cs="Arial"/>
                <w:sz w:val="20"/>
                <w:szCs w:val="20"/>
              </w:rPr>
            </w:pPr>
            <w:r>
              <w:rPr>
                <w:rFonts w:ascii="Arial" w:hAnsi="Arial" w:cs="Arial"/>
                <w:sz w:val="20"/>
                <w:szCs w:val="20"/>
              </w:rPr>
              <w:t>Infrastructure charges……………………………………………………………………………</w:t>
            </w:r>
          </w:p>
        </w:tc>
        <w:tc>
          <w:tcPr>
            <w:tcW w:w="728" w:type="dxa"/>
            <w:vAlign w:val="center"/>
          </w:tcPr>
          <w:p w14:paraId="30A6C15E" w14:textId="55FBD11C"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20</w:t>
            </w:r>
          </w:p>
        </w:tc>
      </w:tr>
      <w:tr w:rsidR="004A160C" w14:paraId="3BE54E8C" w14:textId="77777777" w:rsidTr="00846B00">
        <w:tc>
          <w:tcPr>
            <w:tcW w:w="917" w:type="dxa"/>
            <w:vAlign w:val="center"/>
          </w:tcPr>
          <w:p w14:paraId="418CBB55" w14:textId="7D67813E"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9</w:t>
            </w:r>
          </w:p>
        </w:tc>
        <w:tc>
          <w:tcPr>
            <w:tcW w:w="7995" w:type="dxa"/>
            <w:vAlign w:val="center"/>
          </w:tcPr>
          <w:p w14:paraId="4EFB89B0" w14:textId="17D19161" w:rsidR="004A160C" w:rsidRPr="004A160C" w:rsidRDefault="00846B00" w:rsidP="0042649E">
            <w:pPr>
              <w:tabs>
                <w:tab w:val="left" w:pos="2792"/>
              </w:tabs>
              <w:rPr>
                <w:rFonts w:ascii="Arial" w:hAnsi="Arial" w:cs="Arial"/>
                <w:sz w:val="20"/>
                <w:szCs w:val="20"/>
              </w:rPr>
            </w:pPr>
            <w:r>
              <w:rPr>
                <w:rFonts w:ascii="Arial" w:hAnsi="Arial" w:cs="Arial"/>
                <w:sz w:val="20"/>
                <w:szCs w:val="20"/>
              </w:rPr>
              <w:t>Wholesale connection charges…………………………………………………………………</w:t>
            </w:r>
          </w:p>
        </w:tc>
        <w:tc>
          <w:tcPr>
            <w:tcW w:w="728" w:type="dxa"/>
            <w:vAlign w:val="center"/>
          </w:tcPr>
          <w:p w14:paraId="22DE0EAA" w14:textId="7F1AC9D6"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20</w:t>
            </w:r>
          </w:p>
        </w:tc>
      </w:tr>
      <w:tr w:rsidR="004A160C" w14:paraId="52EC5F67" w14:textId="77777777" w:rsidTr="00846B00">
        <w:tc>
          <w:tcPr>
            <w:tcW w:w="917" w:type="dxa"/>
            <w:vAlign w:val="center"/>
          </w:tcPr>
          <w:p w14:paraId="670332F0" w14:textId="57401693" w:rsidR="004A160C" w:rsidRPr="004A160C" w:rsidRDefault="00846B00" w:rsidP="00831936">
            <w:pPr>
              <w:tabs>
                <w:tab w:val="left" w:pos="2792"/>
              </w:tabs>
              <w:rPr>
                <w:rFonts w:ascii="Arial" w:hAnsi="Arial" w:cs="Arial"/>
                <w:sz w:val="20"/>
                <w:szCs w:val="20"/>
              </w:rPr>
            </w:pPr>
            <w:r>
              <w:rPr>
                <w:rFonts w:ascii="Arial" w:hAnsi="Arial" w:cs="Arial"/>
                <w:sz w:val="20"/>
                <w:szCs w:val="20"/>
              </w:rPr>
              <w:t>Part C</w:t>
            </w:r>
          </w:p>
        </w:tc>
        <w:tc>
          <w:tcPr>
            <w:tcW w:w="7995" w:type="dxa"/>
            <w:vAlign w:val="center"/>
          </w:tcPr>
          <w:p w14:paraId="00C6187A" w14:textId="188F6A59" w:rsidR="004A160C" w:rsidRPr="004A160C" w:rsidRDefault="00846B00" w:rsidP="0042649E">
            <w:pPr>
              <w:tabs>
                <w:tab w:val="left" w:pos="2792"/>
              </w:tabs>
              <w:rPr>
                <w:rFonts w:ascii="Arial" w:hAnsi="Arial" w:cs="Arial"/>
                <w:sz w:val="20"/>
                <w:szCs w:val="20"/>
              </w:rPr>
            </w:pPr>
            <w:r>
              <w:rPr>
                <w:rFonts w:ascii="Arial" w:hAnsi="Arial" w:cs="Arial"/>
                <w:sz w:val="20"/>
                <w:szCs w:val="20"/>
              </w:rPr>
              <w:t>Non-primary charges scheme and schedule………………………………………………….</w:t>
            </w:r>
          </w:p>
        </w:tc>
        <w:tc>
          <w:tcPr>
            <w:tcW w:w="728" w:type="dxa"/>
            <w:vAlign w:val="center"/>
          </w:tcPr>
          <w:p w14:paraId="4AA5BA64" w14:textId="23CC6DDC"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21</w:t>
            </w:r>
          </w:p>
        </w:tc>
      </w:tr>
      <w:tr w:rsidR="00846B00" w14:paraId="1B3754AA" w14:textId="77777777" w:rsidTr="00846B00">
        <w:tc>
          <w:tcPr>
            <w:tcW w:w="917" w:type="dxa"/>
            <w:vAlign w:val="center"/>
          </w:tcPr>
          <w:p w14:paraId="535745C1" w14:textId="46055290" w:rsidR="00846B00" w:rsidRPr="004A160C" w:rsidRDefault="00846B00" w:rsidP="00831936">
            <w:pPr>
              <w:tabs>
                <w:tab w:val="left" w:pos="2792"/>
              </w:tabs>
              <w:jc w:val="right"/>
              <w:rPr>
                <w:rFonts w:ascii="Arial" w:hAnsi="Arial" w:cs="Arial"/>
                <w:sz w:val="20"/>
                <w:szCs w:val="20"/>
              </w:rPr>
            </w:pPr>
            <w:r>
              <w:rPr>
                <w:rFonts w:ascii="Arial" w:hAnsi="Arial" w:cs="Arial"/>
                <w:sz w:val="20"/>
                <w:szCs w:val="20"/>
              </w:rPr>
              <w:t>C.1.0</w:t>
            </w:r>
          </w:p>
        </w:tc>
        <w:tc>
          <w:tcPr>
            <w:tcW w:w="7995" w:type="dxa"/>
            <w:vAlign w:val="center"/>
          </w:tcPr>
          <w:p w14:paraId="561BE483" w14:textId="6F112BF0" w:rsidR="00846B00" w:rsidRPr="004A160C" w:rsidRDefault="00846B00" w:rsidP="0042649E">
            <w:pPr>
              <w:tabs>
                <w:tab w:val="left" w:pos="2792"/>
              </w:tabs>
              <w:rPr>
                <w:rFonts w:ascii="Arial" w:hAnsi="Arial" w:cs="Arial"/>
                <w:sz w:val="20"/>
                <w:szCs w:val="20"/>
              </w:rPr>
            </w:pPr>
            <w:r>
              <w:rPr>
                <w:rFonts w:ascii="Arial" w:hAnsi="Arial" w:cs="Arial"/>
                <w:sz w:val="20"/>
                <w:szCs w:val="20"/>
              </w:rPr>
              <w:t>Maintaining existing supply point data…………………………………………………………</w:t>
            </w:r>
          </w:p>
        </w:tc>
        <w:tc>
          <w:tcPr>
            <w:tcW w:w="728" w:type="dxa"/>
            <w:vAlign w:val="center"/>
          </w:tcPr>
          <w:p w14:paraId="071A68E9" w14:textId="7FBE8D47"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21</w:t>
            </w:r>
          </w:p>
        </w:tc>
      </w:tr>
      <w:tr w:rsidR="00846B00" w14:paraId="55A12208" w14:textId="77777777" w:rsidTr="00846B00">
        <w:tc>
          <w:tcPr>
            <w:tcW w:w="917" w:type="dxa"/>
            <w:vAlign w:val="center"/>
          </w:tcPr>
          <w:p w14:paraId="34B7C311" w14:textId="01A1193A"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C.1.2</w:t>
            </w:r>
          </w:p>
        </w:tc>
        <w:tc>
          <w:tcPr>
            <w:tcW w:w="7995" w:type="dxa"/>
            <w:vAlign w:val="center"/>
          </w:tcPr>
          <w:p w14:paraId="08C33DB1" w14:textId="7903D94E" w:rsidR="00846B00" w:rsidRPr="004A160C" w:rsidRDefault="00831936" w:rsidP="0042649E">
            <w:pPr>
              <w:tabs>
                <w:tab w:val="left" w:pos="2792"/>
              </w:tabs>
              <w:rPr>
                <w:rFonts w:ascii="Arial" w:hAnsi="Arial" w:cs="Arial"/>
                <w:sz w:val="20"/>
                <w:szCs w:val="20"/>
              </w:rPr>
            </w:pPr>
            <w:r>
              <w:rPr>
                <w:rFonts w:ascii="Arial" w:hAnsi="Arial" w:cs="Arial"/>
                <w:sz w:val="20"/>
                <w:szCs w:val="20"/>
              </w:rPr>
              <w:t>Verifying meter details or supply arrangements………………………………………………</w:t>
            </w:r>
          </w:p>
        </w:tc>
        <w:tc>
          <w:tcPr>
            <w:tcW w:w="728" w:type="dxa"/>
            <w:vAlign w:val="center"/>
          </w:tcPr>
          <w:p w14:paraId="452272F6" w14:textId="4FD934E3"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22</w:t>
            </w:r>
          </w:p>
        </w:tc>
      </w:tr>
      <w:tr w:rsidR="00846B00" w14:paraId="6A93AFE8" w14:textId="77777777" w:rsidTr="00846B00">
        <w:tc>
          <w:tcPr>
            <w:tcW w:w="917" w:type="dxa"/>
            <w:vAlign w:val="center"/>
          </w:tcPr>
          <w:p w14:paraId="5F45FF06" w14:textId="30341B3D"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C.1.3</w:t>
            </w:r>
          </w:p>
        </w:tc>
        <w:tc>
          <w:tcPr>
            <w:tcW w:w="7995" w:type="dxa"/>
            <w:vAlign w:val="center"/>
          </w:tcPr>
          <w:p w14:paraId="1B557F0B" w14:textId="5BAE48F1" w:rsidR="00846B00" w:rsidRPr="004A160C" w:rsidRDefault="00831936" w:rsidP="0042649E">
            <w:pPr>
              <w:tabs>
                <w:tab w:val="left" w:pos="2792"/>
              </w:tabs>
              <w:rPr>
                <w:rFonts w:ascii="Arial" w:hAnsi="Arial" w:cs="Arial"/>
                <w:sz w:val="20"/>
                <w:szCs w:val="20"/>
              </w:rPr>
            </w:pPr>
            <w:r>
              <w:rPr>
                <w:rFonts w:ascii="Arial" w:hAnsi="Arial" w:cs="Arial"/>
                <w:sz w:val="20"/>
                <w:szCs w:val="20"/>
              </w:rPr>
              <w:t xml:space="preserve">Assessing applications for trade effluent consents…………………………………………... </w:t>
            </w:r>
          </w:p>
        </w:tc>
        <w:tc>
          <w:tcPr>
            <w:tcW w:w="728" w:type="dxa"/>
            <w:vAlign w:val="center"/>
          </w:tcPr>
          <w:p w14:paraId="39F7981F" w14:textId="0D7BE952"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3</w:t>
            </w:r>
            <w:r>
              <w:rPr>
                <w:rFonts w:ascii="Arial" w:hAnsi="Arial" w:cs="Arial"/>
                <w:sz w:val="20"/>
                <w:szCs w:val="20"/>
              </w:rPr>
              <w:t>-2</w:t>
            </w:r>
            <w:r w:rsidR="00C4610D">
              <w:rPr>
                <w:rFonts w:ascii="Arial" w:hAnsi="Arial" w:cs="Arial"/>
                <w:sz w:val="20"/>
                <w:szCs w:val="20"/>
              </w:rPr>
              <w:t>4</w:t>
            </w:r>
          </w:p>
        </w:tc>
      </w:tr>
      <w:tr w:rsidR="00846B00" w14:paraId="75877D7F" w14:textId="77777777" w:rsidTr="00846B00">
        <w:tc>
          <w:tcPr>
            <w:tcW w:w="917" w:type="dxa"/>
            <w:vAlign w:val="center"/>
          </w:tcPr>
          <w:p w14:paraId="3ED03E88" w14:textId="67C57829"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C.1.4</w:t>
            </w:r>
          </w:p>
        </w:tc>
        <w:tc>
          <w:tcPr>
            <w:tcW w:w="7995" w:type="dxa"/>
            <w:vAlign w:val="center"/>
          </w:tcPr>
          <w:p w14:paraId="55FBCCC9" w14:textId="6C1AFC46" w:rsidR="00846B00" w:rsidRPr="004A160C" w:rsidRDefault="00831936" w:rsidP="0042649E">
            <w:pPr>
              <w:tabs>
                <w:tab w:val="left" w:pos="2792"/>
              </w:tabs>
              <w:rPr>
                <w:rFonts w:ascii="Arial" w:hAnsi="Arial" w:cs="Arial"/>
                <w:sz w:val="20"/>
                <w:szCs w:val="20"/>
              </w:rPr>
            </w:pPr>
            <w:r>
              <w:rPr>
                <w:rFonts w:ascii="Arial" w:hAnsi="Arial" w:cs="Arial"/>
                <w:sz w:val="20"/>
                <w:szCs w:val="20"/>
              </w:rPr>
              <w:t>Assessing variations for trade effluent consents……………………………………………...</w:t>
            </w:r>
          </w:p>
        </w:tc>
        <w:tc>
          <w:tcPr>
            <w:tcW w:w="728" w:type="dxa"/>
            <w:vAlign w:val="center"/>
          </w:tcPr>
          <w:p w14:paraId="37EC0BA5" w14:textId="29283450"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4</w:t>
            </w:r>
            <w:r>
              <w:rPr>
                <w:rFonts w:ascii="Arial" w:hAnsi="Arial" w:cs="Arial"/>
                <w:sz w:val="20"/>
                <w:szCs w:val="20"/>
              </w:rPr>
              <w:t>-2</w:t>
            </w:r>
            <w:r w:rsidR="00C4610D">
              <w:rPr>
                <w:rFonts w:ascii="Arial" w:hAnsi="Arial" w:cs="Arial"/>
                <w:sz w:val="20"/>
                <w:szCs w:val="20"/>
              </w:rPr>
              <w:t>5</w:t>
            </w:r>
          </w:p>
        </w:tc>
      </w:tr>
      <w:tr w:rsidR="00846B00" w14:paraId="1F2F82F8" w14:textId="77777777" w:rsidTr="00846B00">
        <w:tc>
          <w:tcPr>
            <w:tcW w:w="917" w:type="dxa"/>
            <w:vAlign w:val="center"/>
          </w:tcPr>
          <w:p w14:paraId="69E6790E" w14:textId="3D08F06D"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C.1.5</w:t>
            </w:r>
          </w:p>
        </w:tc>
        <w:tc>
          <w:tcPr>
            <w:tcW w:w="7995" w:type="dxa"/>
            <w:vAlign w:val="center"/>
          </w:tcPr>
          <w:p w14:paraId="49BEFB1B" w14:textId="42B57305" w:rsidR="00846B00" w:rsidRPr="004A160C" w:rsidRDefault="00831936" w:rsidP="0042649E">
            <w:pPr>
              <w:tabs>
                <w:tab w:val="left" w:pos="2792"/>
              </w:tabs>
              <w:rPr>
                <w:rFonts w:ascii="Arial" w:hAnsi="Arial" w:cs="Arial"/>
                <w:sz w:val="20"/>
                <w:szCs w:val="20"/>
              </w:rPr>
            </w:pPr>
            <w:r>
              <w:rPr>
                <w:rFonts w:ascii="Arial" w:hAnsi="Arial" w:cs="Arial"/>
                <w:sz w:val="20"/>
                <w:szCs w:val="20"/>
              </w:rPr>
              <w:t>Sampling &amp; analysis for trade effluent billing………………………………………………….</w:t>
            </w:r>
          </w:p>
        </w:tc>
        <w:tc>
          <w:tcPr>
            <w:tcW w:w="728" w:type="dxa"/>
            <w:vAlign w:val="center"/>
          </w:tcPr>
          <w:p w14:paraId="3EB41FAA" w14:textId="31B50DFC"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5</w:t>
            </w:r>
            <w:r>
              <w:rPr>
                <w:rFonts w:ascii="Arial" w:hAnsi="Arial" w:cs="Arial"/>
                <w:sz w:val="20"/>
                <w:szCs w:val="20"/>
              </w:rPr>
              <w:t>-2</w:t>
            </w:r>
            <w:r w:rsidR="00C4610D">
              <w:rPr>
                <w:rFonts w:ascii="Arial" w:hAnsi="Arial" w:cs="Arial"/>
                <w:sz w:val="20"/>
                <w:szCs w:val="20"/>
              </w:rPr>
              <w:t>6</w:t>
            </w:r>
          </w:p>
        </w:tc>
      </w:tr>
      <w:tr w:rsidR="00846B00" w14:paraId="6ACC45E0" w14:textId="77777777" w:rsidTr="00846B00">
        <w:tc>
          <w:tcPr>
            <w:tcW w:w="917" w:type="dxa"/>
            <w:vAlign w:val="center"/>
          </w:tcPr>
          <w:p w14:paraId="7CC01F22" w14:textId="755461E2"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C.1.6</w:t>
            </w:r>
          </w:p>
        </w:tc>
        <w:tc>
          <w:tcPr>
            <w:tcW w:w="7995" w:type="dxa"/>
            <w:vAlign w:val="center"/>
          </w:tcPr>
          <w:p w14:paraId="717760A5" w14:textId="412127D9" w:rsidR="00846B00" w:rsidRPr="004A160C" w:rsidRDefault="00831936" w:rsidP="0042649E">
            <w:pPr>
              <w:tabs>
                <w:tab w:val="left" w:pos="2792"/>
              </w:tabs>
              <w:rPr>
                <w:rFonts w:ascii="Arial" w:hAnsi="Arial" w:cs="Arial"/>
                <w:sz w:val="20"/>
                <w:szCs w:val="20"/>
              </w:rPr>
            </w:pPr>
            <w:r>
              <w:rPr>
                <w:rFonts w:ascii="Arial" w:hAnsi="Arial" w:cs="Arial"/>
                <w:sz w:val="20"/>
                <w:szCs w:val="20"/>
              </w:rPr>
              <w:t>Sampling &amp; analysis for trade effluent by customers…………………………………………</w:t>
            </w:r>
          </w:p>
        </w:tc>
        <w:tc>
          <w:tcPr>
            <w:tcW w:w="728" w:type="dxa"/>
            <w:vAlign w:val="center"/>
          </w:tcPr>
          <w:p w14:paraId="0BC39F8B" w14:textId="638FF104"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6</w:t>
            </w:r>
          </w:p>
        </w:tc>
      </w:tr>
      <w:tr w:rsidR="00846B00" w14:paraId="25F7C1E0" w14:textId="77777777" w:rsidTr="00846B00">
        <w:tc>
          <w:tcPr>
            <w:tcW w:w="917" w:type="dxa"/>
            <w:vAlign w:val="center"/>
          </w:tcPr>
          <w:p w14:paraId="50BB51AC" w14:textId="0BDAB722"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C.1.7</w:t>
            </w:r>
          </w:p>
        </w:tc>
        <w:tc>
          <w:tcPr>
            <w:tcW w:w="7995" w:type="dxa"/>
            <w:vAlign w:val="center"/>
          </w:tcPr>
          <w:p w14:paraId="3D39144B" w14:textId="550C39ED" w:rsidR="00846B00" w:rsidRPr="004A160C" w:rsidRDefault="00831936" w:rsidP="0042649E">
            <w:pPr>
              <w:tabs>
                <w:tab w:val="left" w:pos="2792"/>
              </w:tabs>
              <w:rPr>
                <w:rFonts w:ascii="Arial" w:hAnsi="Arial" w:cs="Arial"/>
                <w:sz w:val="20"/>
                <w:szCs w:val="20"/>
              </w:rPr>
            </w:pPr>
            <w:r>
              <w:rPr>
                <w:rFonts w:ascii="Arial" w:hAnsi="Arial" w:cs="Arial"/>
                <w:sz w:val="20"/>
                <w:szCs w:val="20"/>
              </w:rPr>
              <w:t>Monitoring trade effluent discharges…………………………………………………………...</w:t>
            </w:r>
          </w:p>
        </w:tc>
        <w:tc>
          <w:tcPr>
            <w:tcW w:w="728" w:type="dxa"/>
            <w:vAlign w:val="center"/>
          </w:tcPr>
          <w:p w14:paraId="51CC4ECC" w14:textId="3087B1B1"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7</w:t>
            </w:r>
          </w:p>
        </w:tc>
      </w:tr>
      <w:tr w:rsidR="00846B00" w14:paraId="47E193B7" w14:textId="77777777" w:rsidTr="00846B00">
        <w:tc>
          <w:tcPr>
            <w:tcW w:w="917" w:type="dxa"/>
            <w:vAlign w:val="center"/>
          </w:tcPr>
          <w:p w14:paraId="2CD57914" w14:textId="49F6D7C9"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C.1.8</w:t>
            </w:r>
          </w:p>
        </w:tc>
        <w:tc>
          <w:tcPr>
            <w:tcW w:w="7995" w:type="dxa"/>
            <w:vAlign w:val="center"/>
          </w:tcPr>
          <w:p w14:paraId="1492D1C7" w14:textId="0E69997A" w:rsidR="00846B00" w:rsidRPr="004A160C" w:rsidRDefault="00831936" w:rsidP="0042649E">
            <w:pPr>
              <w:tabs>
                <w:tab w:val="left" w:pos="2792"/>
              </w:tabs>
              <w:rPr>
                <w:rFonts w:ascii="Arial" w:hAnsi="Arial" w:cs="Arial"/>
                <w:sz w:val="20"/>
                <w:szCs w:val="20"/>
              </w:rPr>
            </w:pPr>
            <w:r>
              <w:rPr>
                <w:rFonts w:ascii="Arial" w:hAnsi="Arial" w:cs="Arial"/>
                <w:sz w:val="20"/>
                <w:szCs w:val="20"/>
              </w:rPr>
              <w:t>Other trade effluent charges applying to short term consents………………………………</w:t>
            </w:r>
          </w:p>
        </w:tc>
        <w:tc>
          <w:tcPr>
            <w:tcW w:w="728" w:type="dxa"/>
            <w:vAlign w:val="center"/>
          </w:tcPr>
          <w:p w14:paraId="5F868D24" w14:textId="262DA2E4"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7</w:t>
            </w:r>
          </w:p>
        </w:tc>
      </w:tr>
      <w:tr w:rsidR="00846B00" w14:paraId="1C9EE074" w14:textId="77777777" w:rsidTr="00846B00">
        <w:tc>
          <w:tcPr>
            <w:tcW w:w="917" w:type="dxa"/>
            <w:vAlign w:val="center"/>
          </w:tcPr>
          <w:p w14:paraId="33ECB410" w14:textId="655EDAF2" w:rsidR="00846B00" w:rsidRPr="004A160C" w:rsidRDefault="00831936" w:rsidP="00831936">
            <w:pPr>
              <w:tabs>
                <w:tab w:val="left" w:pos="2792"/>
              </w:tabs>
              <w:rPr>
                <w:rFonts w:ascii="Arial" w:hAnsi="Arial" w:cs="Arial"/>
                <w:sz w:val="20"/>
                <w:szCs w:val="20"/>
              </w:rPr>
            </w:pPr>
            <w:r>
              <w:rPr>
                <w:rFonts w:ascii="Arial" w:hAnsi="Arial" w:cs="Arial"/>
                <w:sz w:val="20"/>
                <w:szCs w:val="20"/>
              </w:rPr>
              <w:t>Part D</w:t>
            </w:r>
          </w:p>
        </w:tc>
        <w:tc>
          <w:tcPr>
            <w:tcW w:w="7995" w:type="dxa"/>
            <w:vAlign w:val="center"/>
          </w:tcPr>
          <w:p w14:paraId="1AC4A8D3" w14:textId="302546E6" w:rsidR="00846B00" w:rsidRPr="004A160C" w:rsidRDefault="00831936" w:rsidP="0042649E">
            <w:pPr>
              <w:tabs>
                <w:tab w:val="left" w:pos="2792"/>
              </w:tabs>
              <w:rPr>
                <w:rFonts w:ascii="Arial" w:hAnsi="Arial" w:cs="Arial"/>
                <w:sz w:val="20"/>
                <w:szCs w:val="20"/>
              </w:rPr>
            </w:pPr>
            <w:r>
              <w:rPr>
                <w:rFonts w:ascii="Arial" w:hAnsi="Arial" w:cs="Arial"/>
                <w:sz w:val="20"/>
                <w:szCs w:val="20"/>
              </w:rPr>
              <w:t>Payment and credit support terms……………………………………………………………...</w:t>
            </w:r>
          </w:p>
        </w:tc>
        <w:tc>
          <w:tcPr>
            <w:tcW w:w="728" w:type="dxa"/>
            <w:vAlign w:val="center"/>
          </w:tcPr>
          <w:p w14:paraId="058D666C" w14:textId="7ED40140" w:rsidR="00831936" w:rsidRPr="004A160C" w:rsidRDefault="00831936" w:rsidP="00831936">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8</w:t>
            </w:r>
            <w:r>
              <w:rPr>
                <w:rFonts w:ascii="Arial" w:hAnsi="Arial" w:cs="Arial"/>
                <w:sz w:val="20"/>
                <w:szCs w:val="20"/>
              </w:rPr>
              <w:t>-2</w:t>
            </w:r>
            <w:r w:rsidR="00C4610D">
              <w:rPr>
                <w:rFonts w:ascii="Arial" w:hAnsi="Arial" w:cs="Arial"/>
                <w:sz w:val="20"/>
                <w:szCs w:val="20"/>
              </w:rPr>
              <w:t>9</w:t>
            </w:r>
          </w:p>
        </w:tc>
      </w:tr>
      <w:tr w:rsidR="00846B00" w14:paraId="54597E36" w14:textId="77777777" w:rsidTr="00846B00">
        <w:tc>
          <w:tcPr>
            <w:tcW w:w="917" w:type="dxa"/>
            <w:vAlign w:val="center"/>
          </w:tcPr>
          <w:p w14:paraId="161583DB" w14:textId="1C8DB0F8" w:rsidR="00846B00" w:rsidRPr="004A160C" w:rsidRDefault="003353F7" w:rsidP="003353F7">
            <w:pPr>
              <w:tabs>
                <w:tab w:val="left" w:pos="2792"/>
              </w:tabs>
              <w:rPr>
                <w:rFonts w:ascii="Arial" w:hAnsi="Arial" w:cs="Arial"/>
                <w:sz w:val="20"/>
                <w:szCs w:val="20"/>
              </w:rPr>
            </w:pPr>
            <w:r>
              <w:rPr>
                <w:rFonts w:ascii="Arial" w:hAnsi="Arial" w:cs="Arial"/>
                <w:sz w:val="20"/>
                <w:szCs w:val="20"/>
              </w:rPr>
              <w:t xml:space="preserve">Part </w:t>
            </w:r>
            <w:r w:rsidR="00CB0B2D">
              <w:rPr>
                <w:rFonts w:ascii="Arial" w:hAnsi="Arial" w:cs="Arial"/>
                <w:sz w:val="20"/>
                <w:szCs w:val="20"/>
              </w:rPr>
              <w:t>E</w:t>
            </w:r>
          </w:p>
        </w:tc>
        <w:tc>
          <w:tcPr>
            <w:tcW w:w="7995" w:type="dxa"/>
            <w:vAlign w:val="center"/>
          </w:tcPr>
          <w:p w14:paraId="5270277F" w14:textId="5BE03B1B" w:rsidR="00846B00" w:rsidRPr="004A160C" w:rsidRDefault="003353F7" w:rsidP="0042649E">
            <w:pPr>
              <w:tabs>
                <w:tab w:val="left" w:pos="2792"/>
              </w:tabs>
              <w:rPr>
                <w:rFonts w:ascii="Arial" w:hAnsi="Arial" w:cs="Arial"/>
                <w:sz w:val="20"/>
                <w:szCs w:val="20"/>
              </w:rPr>
            </w:pPr>
            <w:r>
              <w:rPr>
                <w:rFonts w:ascii="Arial" w:hAnsi="Arial" w:cs="Arial"/>
                <w:sz w:val="20"/>
                <w:szCs w:val="20"/>
              </w:rPr>
              <w:t>Defined terms…………………………………………………………………………………</w:t>
            </w:r>
            <w:proofErr w:type="gramStart"/>
            <w:r>
              <w:rPr>
                <w:rFonts w:ascii="Arial" w:hAnsi="Arial" w:cs="Arial"/>
                <w:sz w:val="20"/>
                <w:szCs w:val="20"/>
              </w:rPr>
              <w:t>…..</w:t>
            </w:r>
            <w:proofErr w:type="gramEnd"/>
          </w:p>
        </w:tc>
        <w:tc>
          <w:tcPr>
            <w:tcW w:w="728" w:type="dxa"/>
            <w:vAlign w:val="center"/>
          </w:tcPr>
          <w:p w14:paraId="33A82328" w14:textId="3779B17E"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30</w:t>
            </w:r>
            <w:r w:rsidR="003353F7">
              <w:rPr>
                <w:rFonts w:ascii="Arial" w:hAnsi="Arial" w:cs="Arial"/>
                <w:sz w:val="20"/>
                <w:szCs w:val="20"/>
              </w:rPr>
              <w:t>-3</w:t>
            </w:r>
            <w:r>
              <w:rPr>
                <w:rFonts w:ascii="Arial" w:hAnsi="Arial" w:cs="Arial"/>
                <w:sz w:val="20"/>
                <w:szCs w:val="20"/>
              </w:rPr>
              <w:t>3</w:t>
            </w:r>
          </w:p>
        </w:tc>
      </w:tr>
    </w:tbl>
    <w:p w14:paraId="1702BA09" w14:textId="6F66F8F5" w:rsidR="006966F5" w:rsidRDefault="006966F5" w:rsidP="00B963AA">
      <w:pPr>
        <w:tabs>
          <w:tab w:val="left" w:pos="2792"/>
        </w:tabs>
        <w:rPr>
          <w:rFonts w:ascii="Arial" w:hAnsi="Arial" w:cs="Arial"/>
          <w:color w:val="0070C0"/>
          <w:sz w:val="28"/>
        </w:rPr>
      </w:pPr>
    </w:p>
    <w:p w14:paraId="5C69B6C7" w14:textId="5E95E029" w:rsidR="003353F7" w:rsidRDefault="003353F7" w:rsidP="00B963AA">
      <w:pPr>
        <w:tabs>
          <w:tab w:val="left" w:pos="2792"/>
        </w:tabs>
        <w:rPr>
          <w:rFonts w:ascii="Arial" w:hAnsi="Arial" w:cs="Arial"/>
          <w:color w:val="0070C0"/>
          <w:sz w:val="28"/>
        </w:rPr>
      </w:pPr>
    </w:p>
    <w:p w14:paraId="36C56601" w14:textId="77777777" w:rsidR="003353F7" w:rsidRDefault="003353F7" w:rsidP="00B963AA">
      <w:pPr>
        <w:tabs>
          <w:tab w:val="left" w:pos="2792"/>
        </w:tabs>
        <w:rPr>
          <w:rFonts w:ascii="Arial" w:hAnsi="Arial" w:cs="Arial"/>
          <w:color w:val="0070C0"/>
          <w:sz w:val="28"/>
        </w:rPr>
      </w:pPr>
    </w:p>
    <w:p w14:paraId="183155EF" w14:textId="37BA7363" w:rsidR="003353F7" w:rsidRDefault="003353F7" w:rsidP="00B963AA">
      <w:pPr>
        <w:tabs>
          <w:tab w:val="left" w:pos="2792"/>
        </w:tabs>
        <w:rPr>
          <w:rFonts w:ascii="Arial" w:hAnsi="Arial" w:cs="Arial"/>
          <w:color w:val="0070C0"/>
          <w:sz w:val="28"/>
        </w:rPr>
      </w:pPr>
    </w:p>
    <w:p w14:paraId="06E97456" w14:textId="62A75E09" w:rsidR="003353F7" w:rsidRDefault="003353F7" w:rsidP="00B963AA">
      <w:pPr>
        <w:tabs>
          <w:tab w:val="left" w:pos="2792"/>
        </w:tabs>
        <w:rPr>
          <w:rFonts w:ascii="Arial" w:hAnsi="Arial" w:cs="Arial"/>
          <w:color w:val="0070C0"/>
          <w:sz w:val="28"/>
        </w:rPr>
      </w:pPr>
    </w:p>
    <w:p w14:paraId="49CF5DC1" w14:textId="77777777" w:rsidR="00523515" w:rsidRDefault="00523515" w:rsidP="00B963AA">
      <w:pPr>
        <w:tabs>
          <w:tab w:val="left" w:pos="2792"/>
        </w:tabs>
        <w:rPr>
          <w:rFonts w:ascii="Arial" w:hAnsi="Arial" w:cs="Arial"/>
          <w:color w:val="0070C0"/>
          <w:sz w:val="28"/>
        </w:rPr>
      </w:pPr>
    </w:p>
    <w:p w14:paraId="344DD763" w14:textId="62027908" w:rsidR="004616F3" w:rsidRDefault="003353F7" w:rsidP="004616F3">
      <w:pPr>
        <w:rPr>
          <w:rFonts w:ascii="Arial" w:hAnsi="Arial" w:cs="Arial"/>
          <w:color w:val="0070C0"/>
          <w:sz w:val="28"/>
        </w:rPr>
      </w:pPr>
      <w:r>
        <w:rPr>
          <w:rFonts w:ascii="Arial" w:hAnsi="Arial" w:cs="Arial"/>
          <w:b/>
          <w:noProof/>
          <w:sz w:val="24"/>
          <w:lang w:eastAsia="en-GB"/>
        </w:rPr>
        <mc:AlternateContent>
          <mc:Choice Requires="wps">
            <w:drawing>
              <wp:anchor distT="0" distB="0" distL="114300" distR="114300" simplePos="0" relativeHeight="251667456" behindDoc="0" locked="0" layoutInCell="1" allowOverlap="1" wp14:anchorId="183C8BC1" wp14:editId="7CA56029">
                <wp:simplePos x="0" y="0"/>
                <wp:positionH relativeFrom="column">
                  <wp:posOffset>-850265</wp:posOffset>
                </wp:positionH>
                <wp:positionV relativeFrom="paragraph">
                  <wp:posOffset>-120650</wp:posOffset>
                </wp:positionV>
                <wp:extent cx="7418070" cy="36131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22DD0185" w14:textId="160CCBFA"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Legal foreword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8BC1" id="Text Box 4" o:spid="_x0000_s1030" type="#_x0000_t202" style="position:absolute;margin-left:-66.95pt;margin-top:-9.5pt;width:584.1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" fillcolor="#069" stroked="f" strokeweight=".5pt">
                <v:textbox>
                  <w:txbxContent>
                    <w:p w14:paraId="22DD0185" w14:textId="160CCBFA"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Legal foreword</w:t>
                      </w:r>
                    </w:p>
                  </w:txbxContent>
                </v:textbox>
              </v:shape>
            </w:pict>
          </mc:Fallback>
        </mc:AlternateContent>
      </w:r>
    </w:p>
    <w:p w14:paraId="1277443A" w14:textId="1207FC52" w:rsidR="003353F7" w:rsidRDefault="004616F3" w:rsidP="004616F3">
      <w:pPr>
        <w:pStyle w:val="NoSpacing"/>
        <w:rPr>
          <w:rFonts w:ascii="Arial" w:hAnsi="Arial" w:cs="Arial"/>
        </w:rPr>
      </w:pPr>
      <w:r w:rsidRPr="00DE4608">
        <w:rPr>
          <w:rFonts w:ascii="Arial" w:hAnsi="Arial" w:cs="Arial"/>
        </w:rPr>
        <w:t xml:space="preserve">This version of the Wholesale Tariff Document dated </w:t>
      </w:r>
      <w:r w:rsidR="00291A84">
        <w:rPr>
          <w:rFonts w:ascii="Arial" w:hAnsi="Arial" w:cs="Arial"/>
        </w:rPr>
        <w:t>29</w:t>
      </w:r>
      <w:r w:rsidR="00AD2E9F">
        <w:rPr>
          <w:rFonts w:ascii="Arial" w:hAnsi="Arial" w:cs="Arial"/>
        </w:rPr>
        <w:t>/</w:t>
      </w:r>
      <w:r w:rsidR="00590AEA">
        <w:rPr>
          <w:rFonts w:ascii="Arial" w:hAnsi="Arial" w:cs="Arial"/>
        </w:rPr>
        <w:t>03/</w:t>
      </w:r>
      <w:r w:rsidR="00180866">
        <w:rPr>
          <w:rFonts w:ascii="Arial" w:hAnsi="Arial" w:cs="Arial"/>
        </w:rPr>
        <w:t>202</w:t>
      </w:r>
      <w:r w:rsidR="00441B5A">
        <w:rPr>
          <w:rFonts w:ascii="Arial" w:hAnsi="Arial" w:cs="Arial"/>
        </w:rPr>
        <w:t>3</w:t>
      </w:r>
      <w:r w:rsidRPr="00DE4608">
        <w:rPr>
          <w:rFonts w:ascii="Arial" w:hAnsi="Arial" w:cs="Arial"/>
        </w:rPr>
        <w:t xml:space="preserve"> was published by County </w:t>
      </w:r>
    </w:p>
    <w:p w14:paraId="69BF6BB3" w14:textId="77777777" w:rsidR="003353F7" w:rsidRDefault="003353F7" w:rsidP="004616F3">
      <w:pPr>
        <w:pStyle w:val="NoSpacing"/>
        <w:rPr>
          <w:rFonts w:ascii="Arial" w:hAnsi="Arial" w:cs="Arial"/>
        </w:rPr>
      </w:pPr>
    </w:p>
    <w:p w14:paraId="7FC86CA1" w14:textId="048126F0" w:rsidR="004616F3" w:rsidRPr="00DE4608" w:rsidRDefault="004616F3" w:rsidP="004616F3">
      <w:pPr>
        <w:pStyle w:val="NoSpacing"/>
        <w:rPr>
          <w:rFonts w:ascii="Arial" w:hAnsi="Arial" w:cs="Arial"/>
        </w:rPr>
      </w:pPr>
      <w:r w:rsidRPr="00DE4608">
        <w:rPr>
          <w:rFonts w:ascii="Arial" w:hAnsi="Arial" w:cs="Arial"/>
        </w:rPr>
        <w:t xml:space="preserve">Water Limited and is designated by County Water Limited as the Wholesale Tariff Document. </w:t>
      </w:r>
    </w:p>
    <w:p w14:paraId="715C1EF8" w14:textId="761CFE9C" w:rsidR="004616F3" w:rsidRPr="00DE4608" w:rsidRDefault="004616F3" w:rsidP="004616F3">
      <w:pPr>
        <w:pStyle w:val="NoSpacing"/>
        <w:rPr>
          <w:rFonts w:ascii="Arial" w:hAnsi="Arial" w:cs="Arial"/>
        </w:rPr>
      </w:pPr>
    </w:p>
    <w:p w14:paraId="5160A3E0" w14:textId="4568920A" w:rsidR="004616F3" w:rsidRPr="00DE4608" w:rsidRDefault="004616F3" w:rsidP="004616F3">
      <w:pPr>
        <w:pStyle w:val="NoSpacing"/>
        <w:rPr>
          <w:rFonts w:ascii="Arial" w:hAnsi="Arial" w:cs="Arial"/>
        </w:rPr>
      </w:pPr>
      <w:r w:rsidRPr="00DE4608">
        <w:rPr>
          <w:rFonts w:ascii="Arial" w:hAnsi="Arial" w:cs="Arial"/>
        </w:rPr>
        <w:t xml:space="preserve">This document has been produced to provide guidance on when we will apply primary and non-primary charges to companies who provide retail services to household and non-household customers and the tariffs that will apply. The tariffs published in this document are applicable for the charging period </w:t>
      </w:r>
      <w:r w:rsidR="00C72818">
        <w:rPr>
          <w:rFonts w:ascii="Arial" w:hAnsi="Arial" w:cs="Arial"/>
        </w:rPr>
        <w:t>1</w:t>
      </w:r>
      <w:r w:rsidR="00C72818" w:rsidRPr="00C72818">
        <w:rPr>
          <w:rFonts w:ascii="Arial" w:hAnsi="Arial" w:cs="Arial"/>
          <w:vertAlign w:val="superscript"/>
        </w:rPr>
        <w:t>st</w:t>
      </w:r>
      <w:r w:rsidR="00C72818">
        <w:rPr>
          <w:rFonts w:ascii="Arial" w:hAnsi="Arial" w:cs="Arial"/>
        </w:rPr>
        <w:t xml:space="preserve"> </w:t>
      </w:r>
      <w:r w:rsidRPr="00DE4608">
        <w:rPr>
          <w:rFonts w:ascii="Arial" w:hAnsi="Arial" w:cs="Arial"/>
        </w:rPr>
        <w:t xml:space="preserve">April </w:t>
      </w:r>
      <w:r w:rsidR="00180866">
        <w:rPr>
          <w:rFonts w:ascii="Arial" w:hAnsi="Arial" w:cs="Arial"/>
        </w:rPr>
        <w:t>202</w:t>
      </w:r>
      <w:r w:rsidR="00441B5A">
        <w:rPr>
          <w:rFonts w:ascii="Arial" w:hAnsi="Arial" w:cs="Arial"/>
        </w:rPr>
        <w:t>3</w:t>
      </w:r>
      <w:r w:rsidRPr="00DE4608">
        <w:rPr>
          <w:rFonts w:ascii="Arial" w:hAnsi="Arial" w:cs="Arial"/>
        </w:rPr>
        <w:t xml:space="preserve"> – </w:t>
      </w:r>
      <w:r w:rsidR="00C72818">
        <w:rPr>
          <w:rFonts w:ascii="Arial" w:hAnsi="Arial" w:cs="Arial"/>
        </w:rPr>
        <w:t>31</w:t>
      </w:r>
      <w:r w:rsidR="00C72818" w:rsidRPr="00C72818">
        <w:rPr>
          <w:rFonts w:ascii="Arial" w:hAnsi="Arial" w:cs="Arial"/>
          <w:vertAlign w:val="superscript"/>
        </w:rPr>
        <w:t>st</w:t>
      </w:r>
      <w:r w:rsidR="00C72818">
        <w:rPr>
          <w:rFonts w:ascii="Arial" w:hAnsi="Arial" w:cs="Arial"/>
        </w:rPr>
        <w:t xml:space="preserve"> </w:t>
      </w:r>
      <w:r w:rsidRPr="00DE4608">
        <w:rPr>
          <w:rFonts w:ascii="Arial" w:hAnsi="Arial" w:cs="Arial"/>
        </w:rPr>
        <w:t xml:space="preserve">March </w:t>
      </w:r>
      <w:proofErr w:type="gramStart"/>
      <w:r w:rsidR="00180866">
        <w:rPr>
          <w:rFonts w:ascii="Arial" w:hAnsi="Arial" w:cs="Arial"/>
        </w:rPr>
        <w:t>202</w:t>
      </w:r>
      <w:r w:rsidR="00441B5A">
        <w:rPr>
          <w:rFonts w:ascii="Arial" w:hAnsi="Arial" w:cs="Arial"/>
        </w:rPr>
        <w:t>4</w:t>
      </w:r>
      <w:r w:rsidR="00180866">
        <w:rPr>
          <w:rFonts w:ascii="Arial" w:hAnsi="Arial" w:cs="Arial"/>
        </w:rPr>
        <w:t xml:space="preserve"> </w:t>
      </w:r>
      <w:r w:rsidRPr="00DE4608">
        <w:rPr>
          <w:rFonts w:ascii="Arial" w:hAnsi="Arial" w:cs="Arial"/>
        </w:rPr>
        <w:t>.</w:t>
      </w:r>
      <w:proofErr w:type="gramEnd"/>
    </w:p>
    <w:p w14:paraId="185535A3" w14:textId="17F7801D" w:rsidR="004616F3" w:rsidRPr="00DE4608" w:rsidRDefault="004616F3" w:rsidP="004616F3">
      <w:pPr>
        <w:pStyle w:val="NoSpacing"/>
        <w:rPr>
          <w:rFonts w:ascii="Arial" w:hAnsi="Arial" w:cs="Arial"/>
        </w:rPr>
      </w:pPr>
    </w:p>
    <w:p w14:paraId="0CFAA078" w14:textId="45DD2123" w:rsidR="004616F3" w:rsidRPr="00DE4608" w:rsidRDefault="004616F3" w:rsidP="004616F3">
      <w:pPr>
        <w:pStyle w:val="NoSpacing"/>
        <w:rPr>
          <w:rFonts w:ascii="Arial" w:hAnsi="Arial" w:cs="Arial"/>
        </w:rPr>
      </w:pPr>
      <w:r w:rsidRPr="00DE4608">
        <w:rPr>
          <w:rFonts w:ascii="Arial" w:hAnsi="Arial" w:cs="Arial"/>
        </w:rPr>
        <w:t>The legal relationship between County Water and retailers is regulated by relevant legislation and written contracts, which require compliance with, among other things the Wholesale Contract/Wholesale-Retail Code. This document should not be relied upon as an accurate summary of any legal obligations that exist elsewhere</w:t>
      </w:r>
    </w:p>
    <w:p w14:paraId="4F4D260A" w14:textId="0A716157" w:rsidR="004616F3" w:rsidRPr="004616F3" w:rsidRDefault="004616F3" w:rsidP="004616F3">
      <w:r>
        <w:rPr>
          <w:rFonts w:ascii="Arial" w:hAnsi="Arial" w:cs="Arial"/>
          <w:b/>
          <w:noProof/>
          <w:sz w:val="24"/>
          <w:lang w:eastAsia="en-GB"/>
        </w:rPr>
        <mc:AlternateContent>
          <mc:Choice Requires="wps">
            <w:drawing>
              <wp:anchor distT="0" distB="0" distL="114300" distR="114300" simplePos="0" relativeHeight="251669504" behindDoc="0" locked="0" layoutInCell="1" allowOverlap="1" wp14:anchorId="320BE39A" wp14:editId="6C568F2F">
                <wp:simplePos x="0" y="0"/>
                <wp:positionH relativeFrom="column">
                  <wp:posOffset>-850790</wp:posOffset>
                </wp:positionH>
                <wp:positionV relativeFrom="paragraph">
                  <wp:posOffset>362281</wp:posOffset>
                </wp:positionV>
                <wp:extent cx="7418070" cy="361666"/>
                <wp:effectExtent l="0" t="0" r="0" b="635"/>
                <wp:wrapNone/>
                <wp:docPr id="5" name="Text Box 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C78A518" w14:textId="4E70B36B"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 xml:space="preserve">Updates to this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BE39A" id="Text Box 5" o:spid="_x0000_s1031" type="#_x0000_t202" style="position:absolute;margin-left:-67pt;margin-top:28.55pt;width:584.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" fillcolor="#069" stroked="f" strokeweight=".5pt">
                <v:textbox>
                  <w:txbxContent>
                    <w:p w14:paraId="2C78A518" w14:textId="4E70B36B"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 xml:space="preserve">Updates to this document </w:t>
                      </w:r>
                    </w:p>
                  </w:txbxContent>
                </v:textbox>
              </v:shape>
            </w:pict>
          </mc:Fallback>
        </mc:AlternateContent>
      </w:r>
    </w:p>
    <w:p w14:paraId="21B94F50" w14:textId="2D53320A" w:rsidR="004616F3" w:rsidRDefault="004616F3" w:rsidP="004616F3"/>
    <w:p w14:paraId="5CE81ECE" w14:textId="0348534F" w:rsidR="004616F3" w:rsidRDefault="004616F3" w:rsidP="004616F3">
      <w:pPr>
        <w:tabs>
          <w:tab w:val="left" w:pos="964"/>
        </w:tabs>
      </w:pPr>
      <w:r>
        <w:tab/>
      </w:r>
    </w:p>
    <w:p w14:paraId="11493E87" w14:textId="77777777" w:rsidR="00DE4608" w:rsidRDefault="00DE4608" w:rsidP="004616F3">
      <w:pPr>
        <w:tabs>
          <w:tab w:val="left" w:pos="927"/>
        </w:tabs>
        <w:rPr>
          <w:rFonts w:ascii="Arial" w:hAnsi="Arial" w:cs="Arial"/>
        </w:rPr>
      </w:pPr>
      <w:r w:rsidRPr="00DE4608">
        <w:rPr>
          <w:rFonts w:ascii="Arial" w:hAnsi="Arial" w:cs="Arial"/>
        </w:rPr>
        <w:t xml:space="preserve">We are constantly working to improve </w:t>
      </w:r>
      <w:r>
        <w:rPr>
          <w:rFonts w:ascii="Arial" w:hAnsi="Arial" w:cs="Arial"/>
        </w:rPr>
        <w:t>our services; therefore, we may need to update this document where necessary.</w:t>
      </w:r>
    </w:p>
    <w:p w14:paraId="284A0ECD" w14:textId="2AAFDADE" w:rsidR="004616F3" w:rsidRDefault="00DE4608" w:rsidP="004616F3">
      <w:pPr>
        <w:tabs>
          <w:tab w:val="left" w:pos="927"/>
        </w:tabs>
        <w:rPr>
          <w:rFonts w:ascii="Arial" w:hAnsi="Arial" w:cs="Arial"/>
        </w:rPr>
      </w:pPr>
      <w:r>
        <w:rPr>
          <w:rFonts w:ascii="Arial" w:hAnsi="Arial" w:cs="Arial"/>
        </w:rPr>
        <w:t xml:space="preserve">Updates will be recorded in the below table.  </w:t>
      </w:r>
    </w:p>
    <w:p w14:paraId="376C3464" w14:textId="77777777" w:rsidR="00336421" w:rsidRPr="00DE4608" w:rsidRDefault="00336421" w:rsidP="004616F3">
      <w:pPr>
        <w:tabs>
          <w:tab w:val="left" w:pos="927"/>
        </w:tabs>
        <w:rPr>
          <w:rFonts w:ascii="Arial" w:hAnsi="Arial" w:cs="Arial"/>
        </w:rPr>
      </w:pPr>
    </w:p>
    <w:tbl>
      <w:tblPr>
        <w:tblStyle w:val="TableGrid"/>
        <w:tblW w:w="9611" w:type="dxa"/>
        <w:tblLayout w:type="fixed"/>
        <w:tblLook w:val="04A0" w:firstRow="1" w:lastRow="0" w:firstColumn="1" w:lastColumn="0" w:noHBand="0" w:noVBand="1"/>
      </w:tblPr>
      <w:tblGrid>
        <w:gridCol w:w="2254"/>
        <w:gridCol w:w="2254"/>
        <w:gridCol w:w="5103"/>
      </w:tblGrid>
      <w:tr w:rsidR="004D20DA" w14:paraId="186AF18E" w14:textId="77777777" w:rsidTr="00DC71A7">
        <w:tc>
          <w:tcPr>
            <w:tcW w:w="2254" w:type="dxa"/>
            <w:shd w:val="clear" w:color="auto" w:fill="006699"/>
          </w:tcPr>
          <w:p w14:paraId="2CCF7171" w14:textId="61C52084"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Date</w:t>
            </w:r>
          </w:p>
        </w:tc>
        <w:tc>
          <w:tcPr>
            <w:tcW w:w="2254" w:type="dxa"/>
            <w:shd w:val="clear" w:color="auto" w:fill="006699"/>
          </w:tcPr>
          <w:p w14:paraId="2D3FD31E" w14:textId="5E45024C"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Version</w:t>
            </w:r>
          </w:p>
        </w:tc>
        <w:tc>
          <w:tcPr>
            <w:tcW w:w="5103" w:type="dxa"/>
            <w:shd w:val="clear" w:color="auto" w:fill="006699"/>
          </w:tcPr>
          <w:p w14:paraId="16CB82F0" w14:textId="7B42C929"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Updates</w:t>
            </w:r>
          </w:p>
        </w:tc>
      </w:tr>
      <w:tr w:rsidR="004D20DA" w14:paraId="74C07249" w14:textId="77777777" w:rsidTr="00DC71A7">
        <w:tc>
          <w:tcPr>
            <w:tcW w:w="2254" w:type="dxa"/>
          </w:tcPr>
          <w:p w14:paraId="03AC6877" w14:textId="31366D37" w:rsidR="004D20DA" w:rsidRPr="00DE4608" w:rsidRDefault="00291A84" w:rsidP="004616F3">
            <w:pPr>
              <w:tabs>
                <w:tab w:val="left" w:pos="927"/>
              </w:tabs>
              <w:rPr>
                <w:rFonts w:ascii="Arial" w:hAnsi="Arial" w:cs="Arial"/>
              </w:rPr>
            </w:pPr>
            <w:r>
              <w:rPr>
                <w:rFonts w:ascii="Arial" w:hAnsi="Arial" w:cs="Arial"/>
              </w:rPr>
              <w:t>29</w:t>
            </w:r>
            <w:r w:rsidR="00AD2E9F" w:rsidRPr="00AD2E9F">
              <w:rPr>
                <w:rFonts w:ascii="Arial" w:hAnsi="Arial" w:cs="Arial"/>
                <w:vertAlign w:val="superscript"/>
              </w:rPr>
              <w:t>th</w:t>
            </w:r>
            <w:r w:rsidR="00AD2E9F">
              <w:rPr>
                <w:rFonts w:ascii="Arial" w:hAnsi="Arial" w:cs="Arial"/>
              </w:rPr>
              <w:t xml:space="preserve"> </w:t>
            </w:r>
            <w:r w:rsidR="00590AEA">
              <w:rPr>
                <w:rFonts w:ascii="Arial" w:hAnsi="Arial" w:cs="Arial"/>
              </w:rPr>
              <w:t xml:space="preserve">March </w:t>
            </w:r>
            <w:r w:rsidR="00180866">
              <w:rPr>
                <w:rFonts w:ascii="Arial" w:hAnsi="Arial" w:cs="Arial"/>
              </w:rPr>
              <w:t>202</w:t>
            </w:r>
            <w:r w:rsidR="00441B5A">
              <w:rPr>
                <w:rFonts w:ascii="Arial" w:hAnsi="Arial" w:cs="Arial"/>
              </w:rPr>
              <w:t>3</w:t>
            </w:r>
          </w:p>
        </w:tc>
        <w:tc>
          <w:tcPr>
            <w:tcW w:w="2254" w:type="dxa"/>
          </w:tcPr>
          <w:p w14:paraId="083054D5" w14:textId="4D0C86B1" w:rsidR="004D20DA" w:rsidRPr="00DE4608" w:rsidRDefault="004D20DA" w:rsidP="004616F3">
            <w:pPr>
              <w:tabs>
                <w:tab w:val="left" w:pos="927"/>
              </w:tabs>
              <w:rPr>
                <w:rFonts w:ascii="Arial" w:hAnsi="Arial" w:cs="Arial"/>
              </w:rPr>
            </w:pPr>
            <w:r w:rsidRPr="00DE4608">
              <w:rPr>
                <w:rFonts w:ascii="Arial" w:hAnsi="Arial" w:cs="Arial"/>
              </w:rPr>
              <w:t>1</w:t>
            </w:r>
            <w:r>
              <w:rPr>
                <w:rFonts w:ascii="Arial" w:hAnsi="Arial" w:cs="Arial"/>
              </w:rPr>
              <w:t>.0</w:t>
            </w:r>
          </w:p>
        </w:tc>
        <w:tc>
          <w:tcPr>
            <w:tcW w:w="5103" w:type="dxa"/>
          </w:tcPr>
          <w:p w14:paraId="60854BF9" w14:textId="2253C2F2" w:rsidR="004D20DA" w:rsidRPr="00DE4608" w:rsidRDefault="004D20DA" w:rsidP="004616F3">
            <w:pPr>
              <w:tabs>
                <w:tab w:val="left" w:pos="927"/>
              </w:tabs>
              <w:rPr>
                <w:rFonts w:ascii="Arial" w:hAnsi="Arial" w:cs="Arial"/>
              </w:rPr>
            </w:pPr>
            <w:r w:rsidRPr="00DE4608">
              <w:rPr>
                <w:rFonts w:ascii="Arial" w:hAnsi="Arial" w:cs="Arial"/>
              </w:rPr>
              <w:t>Publication</w:t>
            </w:r>
          </w:p>
        </w:tc>
      </w:tr>
    </w:tbl>
    <w:p w14:paraId="55DA9765" w14:textId="4E6E9BC5" w:rsidR="004A1671" w:rsidRDefault="004A1671" w:rsidP="004616F3">
      <w:pPr>
        <w:tabs>
          <w:tab w:val="left" w:pos="927"/>
        </w:tabs>
      </w:pPr>
    </w:p>
    <w:p w14:paraId="045AA1D2" w14:textId="77777777" w:rsidR="004A1671" w:rsidRDefault="004A1671">
      <w:r>
        <w:br w:type="page"/>
      </w:r>
    </w:p>
    <w:p w14:paraId="5E0C5384" w14:textId="7BAF0DAF" w:rsidR="004A1671" w:rsidRDefault="004A1671" w:rsidP="004616F3">
      <w:pPr>
        <w:tabs>
          <w:tab w:val="left" w:pos="927"/>
        </w:tabs>
      </w:pPr>
      <w:r>
        <w:rPr>
          <w:rFonts w:ascii="Arial" w:hAnsi="Arial" w:cs="Arial"/>
          <w:b/>
          <w:noProof/>
          <w:sz w:val="24"/>
          <w:lang w:eastAsia="en-GB"/>
        </w:rPr>
        <w:lastRenderedPageBreak/>
        <mc:AlternateContent>
          <mc:Choice Requires="wps">
            <w:drawing>
              <wp:anchor distT="0" distB="0" distL="114300" distR="114300" simplePos="0" relativeHeight="251673600" behindDoc="0" locked="0" layoutInCell="1" allowOverlap="1" wp14:anchorId="1FB327CA" wp14:editId="42007366">
                <wp:simplePos x="0" y="0"/>
                <wp:positionH relativeFrom="column">
                  <wp:posOffset>-834887</wp:posOffset>
                </wp:positionH>
                <wp:positionV relativeFrom="paragraph">
                  <wp:posOffset>-76200</wp:posOffset>
                </wp:positionV>
                <wp:extent cx="7418070" cy="361666"/>
                <wp:effectExtent l="0" t="0" r="0" b="635"/>
                <wp:wrapNone/>
                <wp:docPr id="8" name="Text Box 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F92AFC3" w14:textId="78A7E959" w:rsidR="007A7A0C" w:rsidRPr="004616F3" w:rsidRDefault="007A7A0C" w:rsidP="004A1671">
                            <w:pPr>
                              <w:pStyle w:val="NoSpacing"/>
                              <w:rPr>
                                <w:rFonts w:ascii="Arial" w:hAnsi="Arial" w:cs="Arial"/>
                                <w:color w:val="FFFFFF" w:themeColor="background1"/>
                                <w:sz w:val="32"/>
                              </w:rPr>
                            </w:pPr>
                            <w:r>
                              <w:rPr>
                                <w:rFonts w:ascii="Arial" w:hAnsi="Arial" w:cs="Arial"/>
                                <w:color w:val="FFFFFF" w:themeColor="background1"/>
                                <w:sz w:val="32"/>
                              </w:rPr>
                              <w:t xml:space="preserve">Wholesale Tariff Document Introduction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327CA" id="Text Box 8" o:spid="_x0000_s1032" type="#_x0000_t202" style="position:absolute;margin-left:-65.75pt;margin-top:-6pt;width:584.1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" fillcolor="#069" stroked="f" strokeweight=".5pt">
                <v:textbox>
                  <w:txbxContent>
                    <w:p w14:paraId="5F92AFC3" w14:textId="78A7E959" w:rsidR="007A7A0C" w:rsidRPr="004616F3" w:rsidRDefault="007A7A0C" w:rsidP="004A1671">
                      <w:pPr>
                        <w:pStyle w:val="NoSpacing"/>
                        <w:rPr>
                          <w:rFonts w:ascii="Arial" w:hAnsi="Arial" w:cs="Arial"/>
                          <w:color w:val="FFFFFF" w:themeColor="background1"/>
                          <w:sz w:val="32"/>
                        </w:rPr>
                      </w:pPr>
                      <w:r>
                        <w:rPr>
                          <w:rFonts w:ascii="Arial" w:hAnsi="Arial" w:cs="Arial"/>
                          <w:color w:val="FFFFFF" w:themeColor="background1"/>
                          <w:sz w:val="32"/>
                        </w:rPr>
                        <w:t xml:space="preserve">Wholesale Tariff Document Introduction </w:t>
                      </w:r>
                    </w:p>
                  </w:txbxContent>
                </v:textbox>
              </v:shape>
            </w:pict>
          </mc:Fallback>
        </mc:AlternateContent>
      </w:r>
    </w:p>
    <w:p w14:paraId="18FC5A63" w14:textId="77777777" w:rsidR="004A1671" w:rsidRDefault="004A1671" w:rsidP="004616F3">
      <w:pPr>
        <w:tabs>
          <w:tab w:val="left" w:pos="927"/>
        </w:tabs>
      </w:pPr>
    </w:p>
    <w:p w14:paraId="1B859CF5" w14:textId="393D70E9" w:rsidR="00F77EA5" w:rsidRPr="00F77EA5" w:rsidRDefault="004A1671" w:rsidP="004616F3">
      <w:pPr>
        <w:tabs>
          <w:tab w:val="left" w:pos="927"/>
        </w:tabs>
        <w:rPr>
          <w:rFonts w:ascii="Arial" w:hAnsi="Arial" w:cs="Arial"/>
        </w:rPr>
      </w:pPr>
      <w:r w:rsidRPr="00F77EA5">
        <w:rPr>
          <w:rFonts w:ascii="Arial" w:hAnsi="Arial" w:cs="Arial"/>
        </w:rPr>
        <w:t xml:space="preserve">This document sets out the wholesale tariffs for </w:t>
      </w:r>
      <w:r w:rsidR="00F77EA5" w:rsidRPr="00F77EA5">
        <w:rPr>
          <w:rFonts w:ascii="Arial" w:hAnsi="Arial" w:cs="Arial"/>
        </w:rPr>
        <w:t>County</w:t>
      </w:r>
      <w:r w:rsidRPr="00F77EA5">
        <w:rPr>
          <w:rFonts w:ascii="Arial" w:hAnsi="Arial" w:cs="Arial"/>
        </w:rPr>
        <w:t xml:space="preserve"> Water relating to household and non-household customers for the period commencing </w:t>
      </w:r>
      <w:r w:rsidR="00464411">
        <w:rPr>
          <w:rFonts w:ascii="Arial" w:hAnsi="Arial" w:cs="Arial"/>
        </w:rPr>
        <w:t>1</w:t>
      </w:r>
      <w:r w:rsidRPr="00F77EA5">
        <w:rPr>
          <w:rFonts w:ascii="Arial" w:hAnsi="Arial" w:cs="Arial"/>
        </w:rPr>
        <w:t xml:space="preserve"> April </w:t>
      </w:r>
      <w:r w:rsidR="00180866">
        <w:rPr>
          <w:rFonts w:ascii="Arial" w:hAnsi="Arial" w:cs="Arial"/>
        </w:rPr>
        <w:t>202</w:t>
      </w:r>
      <w:r w:rsidR="00441B5A">
        <w:rPr>
          <w:rFonts w:ascii="Arial" w:hAnsi="Arial" w:cs="Arial"/>
        </w:rPr>
        <w:t>3</w:t>
      </w:r>
      <w:r w:rsidRPr="00F77EA5">
        <w:rPr>
          <w:rFonts w:ascii="Arial" w:hAnsi="Arial" w:cs="Arial"/>
        </w:rPr>
        <w:t xml:space="preserve"> and has been created in accordance with Ofwat’s wholesale charging rules. </w:t>
      </w:r>
    </w:p>
    <w:p w14:paraId="7A040EC3" w14:textId="77777777" w:rsidR="00F77EA5" w:rsidRPr="00F77EA5" w:rsidRDefault="004A1671" w:rsidP="004616F3">
      <w:pPr>
        <w:tabs>
          <w:tab w:val="left" w:pos="927"/>
        </w:tabs>
        <w:rPr>
          <w:rFonts w:ascii="Arial" w:hAnsi="Arial" w:cs="Arial"/>
        </w:rPr>
      </w:pPr>
      <w:r w:rsidRPr="00F77EA5">
        <w:rPr>
          <w:rFonts w:ascii="Arial" w:hAnsi="Arial" w:cs="Arial"/>
        </w:rPr>
        <w:t xml:space="preserve">The information in this document should be considered alongside the following: </w:t>
      </w:r>
    </w:p>
    <w:p w14:paraId="7846CE6F" w14:textId="62DFE541"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Wholesale Contract/Wholesale-Retail </w:t>
      </w:r>
      <w:proofErr w:type="gramStart"/>
      <w:r w:rsidR="004A1671" w:rsidRPr="00C72818">
        <w:rPr>
          <w:rFonts w:ascii="Arial" w:hAnsi="Arial" w:cs="Arial"/>
        </w:rPr>
        <w:t>Code;</w:t>
      </w:r>
      <w:proofErr w:type="gramEnd"/>
      <w:r w:rsidR="004A1671" w:rsidRPr="00C72818">
        <w:rPr>
          <w:rFonts w:ascii="Arial" w:hAnsi="Arial" w:cs="Arial"/>
        </w:rPr>
        <w:t xml:space="preserve"> </w:t>
      </w:r>
    </w:p>
    <w:p w14:paraId="419350E4" w14:textId="0F5E74DE"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Market Arrangements </w:t>
      </w:r>
      <w:proofErr w:type="gramStart"/>
      <w:r w:rsidR="004A1671" w:rsidRPr="00C72818">
        <w:rPr>
          <w:rFonts w:ascii="Arial" w:hAnsi="Arial" w:cs="Arial"/>
        </w:rPr>
        <w:t>Code;</w:t>
      </w:r>
      <w:proofErr w:type="gramEnd"/>
      <w:r w:rsidR="004A1671" w:rsidRPr="00C72818">
        <w:rPr>
          <w:rFonts w:ascii="Arial" w:hAnsi="Arial" w:cs="Arial"/>
        </w:rPr>
        <w:t xml:space="preserve"> </w:t>
      </w:r>
    </w:p>
    <w:p w14:paraId="6683BF29" w14:textId="35B6256B"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Wholesale charging rules issued by the Water Services Regulation Authority under sections 66E and 117l of the Water Industry Act 1991 </w:t>
      </w:r>
    </w:p>
    <w:p w14:paraId="4CD567F1" w14:textId="77777777" w:rsidR="00F77EA5" w:rsidRPr="00F77EA5" w:rsidRDefault="00F77EA5" w:rsidP="00F77EA5">
      <w:pPr>
        <w:pStyle w:val="NoSpacing"/>
        <w:rPr>
          <w:rFonts w:ascii="Arial" w:hAnsi="Arial" w:cs="Arial"/>
        </w:rPr>
      </w:pPr>
    </w:p>
    <w:p w14:paraId="61084A06" w14:textId="77777777" w:rsidR="00F77EA5" w:rsidRDefault="004A1671" w:rsidP="004616F3">
      <w:pPr>
        <w:tabs>
          <w:tab w:val="left" w:pos="927"/>
        </w:tabs>
        <w:rPr>
          <w:rFonts w:ascii="Arial" w:hAnsi="Arial" w:cs="Arial"/>
        </w:rPr>
      </w:pPr>
      <w:r w:rsidRPr="00F77EA5">
        <w:rPr>
          <w:rFonts w:ascii="Arial" w:hAnsi="Arial" w:cs="Arial"/>
        </w:rPr>
        <w:t xml:space="preserve">Throughout this document references are made to and refer to ‘you’, the retailer and ‘we’, </w:t>
      </w:r>
      <w:r w:rsidR="00F77EA5">
        <w:rPr>
          <w:rFonts w:ascii="Arial" w:hAnsi="Arial" w:cs="Arial"/>
        </w:rPr>
        <w:t>County Water</w:t>
      </w:r>
      <w:r w:rsidRPr="00F77EA5">
        <w:rPr>
          <w:rFonts w:ascii="Arial" w:hAnsi="Arial" w:cs="Arial"/>
        </w:rPr>
        <w:t xml:space="preserve"> Limited. </w:t>
      </w:r>
    </w:p>
    <w:p w14:paraId="7F59D858" w14:textId="77777777" w:rsidR="00F77EA5" w:rsidRDefault="004A1671" w:rsidP="004616F3">
      <w:pPr>
        <w:tabs>
          <w:tab w:val="left" w:pos="927"/>
        </w:tabs>
        <w:rPr>
          <w:rFonts w:ascii="Arial" w:hAnsi="Arial" w:cs="Arial"/>
        </w:rPr>
      </w:pPr>
      <w:r w:rsidRPr="00F77EA5">
        <w:rPr>
          <w:rFonts w:ascii="Arial" w:hAnsi="Arial" w:cs="Arial"/>
        </w:rPr>
        <w:t>This document sets out the information that you need to identify when tariffs may apply, the actual tariffs (where available) and any conditions that relate to the tariffs and services.</w:t>
      </w:r>
    </w:p>
    <w:p w14:paraId="45F3FA43" w14:textId="194C93A2" w:rsidR="00F77EA5" w:rsidRDefault="004A1671" w:rsidP="004616F3">
      <w:pPr>
        <w:tabs>
          <w:tab w:val="left" w:pos="927"/>
        </w:tabs>
        <w:rPr>
          <w:rFonts w:ascii="Arial" w:hAnsi="Arial" w:cs="Arial"/>
        </w:rPr>
      </w:pPr>
      <w:r w:rsidRPr="00F77EA5">
        <w:rPr>
          <w:rFonts w:ascii="Arial" w:hAnsi="Arial" w:cs="Arial"/>
        </w:rPr>
        <w:t xml:space="preserve">It should be noted that the tariffs in this document are calculated excluding VAT and any other taxes that may be applicable. </w:t>
      </w:r>
    </w:p>
    <w:p w14:paraId="6A9751CB" w14:textId="528EFD2C" w:rsidR="00F77EA5" w:rsidRPr="00F77EA5" w:rsidRDefault="004A1671" w:rsidP="004616F3">
      <w:pPr>
        <w:tabs>
          <w:tab w:val="left" w:pos="927"/>
        </w:tabs>
        <w:rPr>
          <w:rFonts w:ascii="Arial" w:hAnsi="Arial" w:cs="Arial"/>
          <w:b/>
          <w:color w:val="006699"/>
        </w:rPr>
      </w:pPr>
      <w:r w:rsidRPr="00F77EA5">
        <w:rPr>
          <w:rFonts w:ascii="Arial" w:hAnsi="Arial" w:cs="Arial"/>
          <w:b/>
          <w:color w:val="006699"/>
        </w:rPr>
        <w:t>Th</w:t>
      </w:r>
      <w:r w:rsidR="00F77EA5" w:rsidRPr="00F77EA5">
        <w:rPr>
          <w:rFonts w:ascii="Arial" w:hAnsi="Arial" w:cs="Arial"/>
          <w:b/>
          <w:color w:val="006699"/>
        </w:rPr>
        <w:t>is</w:t>
      </w:r>
      <w:r w:rsidRPr="00F77EA5">
        <w:rPr>
          <w:rFonts w:ascii="Arial" w:hAnsi="Arial" w:cs="Arial"/>
          <w:b/>
          <w:color w:val="006699"/>
        </w:rPr>
        <w:t xml:space="preserve"> document contains </w:t>
      </w:r>
      <w:r w:rsidR="00C72818">
        <w:rPr>
          <w:rFonts w:ascii="Arial" w:hAnsi="Arial" w:cs="Arial"/>
          <w:b/>
          <w:color w:val="006699"/>
        </w:rPr>
        <w:t>five</w:t>
      </w:r>
      <w:r w:rsidRPr="00F77EA5">
        <w:rPr>
          <w:rFonts w:ascii="Arial" w:hAnsi="Arial" w:cs="Arial"/>
          <w:b/>
          <w:color w:val="006699"/>
        </w:rPr>
        <w:t xml:space="preserve"> main parts: </w:t>
      </w:r>
    </w:p>
    <w:p w14:paraId="4188FE8E" w14:textId="58C72F24" w:rsidR="00F77EA5" w:rsidRDefault="004A1671" w:rsidP="004616F3">
      <w:pPr>
        <w:tabs>
          <w:tab w:val="left" w:pos="927"/>
        </w:tabs>
        <w:rPr>
          <w:rFonts w:ascii="Arial" w:hAnsi="Arial" w:cs="Arial"/>
        </w:rPr>
      </w:pPr>
      <w:r w:rsidRPr="00F77EA5">
        <w:rPr>
          <w:rFonts w:ascii="Arial" w:hAnsi="Arial" w:cs="Arial"/>
          <w:b/>
        </w:rPr>
        <w:t>Part A: Primary charges scheme</w:t>
      </w:r>
      <w:r w:rsidRPr="00F77EA5">
        <w:rPr>
          <w:rFonts w:ascii="Arial" w:hAnsi="Arial" w:cs="Arial"/>
        </w:rPr>
        <w:t xml:space="preserve"> – details how we will apply our household and non</w:t>
      </w:r>
      <w:r w:rsidR="00F77EA5">
        <w:rPr>
          <w:rFonts w:ascii="Arial" w:hAnsi="Arial" w:cs="Arial"/>
        </w:rPr>
        <w:t>-</w:t>
      </w:r>
      <w:r w:rsidRPr="00F77EA5">
        <w:rPr>
          <w:rFonts w:ascii="Arial" w:hAnsi="Arial" w:cs="Arial"/>
        </w:rPr>
        <w:t xml:space="preserve">household primary and special agreement wholesale tariffs for </w:t>
      </w:r>
      <w:r w:rsidR="00180866">
        <w:rPr>
          <w:rFonts w:ascii="Arial" w:hAnsi="Arial" w:cs="Arial"/>
        </w:rPr>
        <w:t>202</w:t>
      </w:r>
      <w:r w:rsidR="00441B5A">
        <w:rPr>
          <w:rFonts w:ascii="Arial" w:hAnsi="Arial" w:cs="Arial"/>
        </w:rPr>
        <w:t>3</w:t>
      </w:r>
      <w:r w:rsidRPr="00F77EA5">
        <w:rPr>
          <w:rFonts w:ascii="Arial" w:hAnsi="Arial" w:cs="Arial"/>
        </w:rPr>
        <w:t>-</w:t>
      </w:r>
      <w:r w:rsidR="00464411">
        <w:rPr>
          <w:rFonts w:ascii="Arial" w:hAnsi="Arial" w:cs="Arial"/>
        </w:rPr>
        <w:t>2</w:t>
      </w:r>
      <w:r w:rsidR="00441B5A">
        <w:rPr>
          <w:rFonts w:ascii="Arial" w:hAnsi="Arial" w:cs="Arial"/>
        </w:rPr>
        <w:t>4</w:t>
      </w:r>
      <w:r w:rsidRPr="00F77EA5">
        <w:rPr>
          <w:rFonts w:ascii="Arial" w:hAnsi="Arial" w:cs="Arial"/>
        </w:rPr>
        <w:t xml:space="preserve">. </w:t>
      </w:r>
    </w:p>
    <w:p w14:paraId="20539FB9" w14:textId="68803402" w:rsidR="00F77EA5" w:rsidRDefault="004A1671" w:rsidP="004616F3">
      <w:pPr>
        <w:tabs>
          <w:tab w:val="left" w:pos="927"/>
        </w:tabs>
        <w:rPr>
          <w:rFonts w:ascii="Arial" w:hAnsi="Arial" w:cs="Arial"/>
        </w:rPr>
      </w:pPr>
      <w:r w:rsidRPr="00F77EA5">
        <w:rPr>
          <w:rFonts w:ascii="Arial" w:hAnsi="Arial" w:cs="Arial"/>
          <w:b/>
        </w:rPr>
        <w:t>Part B: Primary tariff schedule</w:t>
      </w:r>
      <w:r w:rsidRPr="00F77EA5">
        <w:rPr>
          <w:rFonts w:ascii="Arial" w:hAnsi="Arial" w:cs="Arial"/>
        </w:rPr>
        <w:t xml:space="preserve"> – sets out our household and non-household primary and </w:t>
      </w:r>
      <w:r w:rsidRPr="00C72818">
        <w:rPr>
          <w:rFonts w:ascii="Arial" w:hAnsi="Arial" w:cs="Arial"/>
        </w:rPr>
        <w:t xml:space="preserve">special agreement wholesale tariffs for </w:t>
      </w:r>
      <w:r w:rsidR="00180866">
        <w:rPr>
          <w:rFonts w:ascii="Arial" w:hAnsi="Arial" w:cs="Arial"/>
        </w:rPr>
        <w:t>202</w:t>
      </w:r>
      <w:r w:rsidR="00441B5A">
        <w:rPr>
          <w:rFonts w:ascii="Arial" w:hAnsi="Arial" w:cs="Arial"/>
        </w:rPr>
        <w:t>3</w:t>
      </w:r>
      <w:r w:rsidRPr="00C72818">
        <w:rPr>
          <w:rFonts w:ascii="Arial" w:hAnsi="Arial" w:cs="Arial"/>
        </w:rPr>
        <w:t>-</w:t>
      </w:r>
      <w:r w:rsidR="00464411">
        <w:rPr>
          <w:rFonts w:ascii="Arial" w:hAnsi="Arial" w:cs="Arial"/>
        </w:rPr>
        <w:t>2</w:t>
      </w:r>
      <w:r w:rsidR="00441B5A">
        <w:rPr>
          <w:rFonts w:ascii="Arial" w:hAnsi="Arial" w:cs="Arial"/>
        </w:rPr>
        <w:t>4</w:t>
      </w:r>
      <w:r w:rsidRPr="00C72818">
        <w:rPr>
          <w:rFonts w:ascii="Arial" w:hAnsi="Arial" w:cs="Arial"/>
        </w:rPr>
        <w:t xml:space="preserve">. </w:t>
      </w:r>
    </w:p>
    <w:p w14:paraId="7A1FD40F" w14:textId="258C1F6C" w:rsidR="00C72818" w:rsidRPr="00C72818" w:rsidRDefault="00C72818" w:rsidP="004616F3">
      <w:pPr>
        <w:tabs>
          <w:tab w:val="left" w:pos="927"/>
        </w:tabs>
        <w:rPr>
          <w:rFonts w:ascii="Arial" w:hAnsi="Arial" w:cs="Arial"/>
        </w:rPr>
      </w:pPr>
      <w:r w:rsidRPr="00C72818">
        <w:rPr>
          <w:rFonts w:ascii="Arial" w:hAnsi="Arial" w:cs="Arial"/>
          <w:b/>
        </w:rPr>
        <w:t>Part C: Non-primary charges scheme and schedule</w:t>
      </w:r>
      <w:r w:rsidRPr="00C72818">
        <w:rPr>
          <w:rFonts w:ascii="Arial" w:hAnsi="Arial" w:cs="Arial"/>
        </w:rPr>
        <w:t xml:space="preserve"> – details the non-primary wholesale tariffs for </w:t>
      </w:r>
      <w:r w:rsidR="00180866">
        <w:rPr>
          <w:rFonts w:ascii="Arial" w:hAnsi="Arial" w:cs="Arial"/>
        </w:rPr>
        <w:t>202</w:t>
      </w:r>
      <w:r w:rsidR="00441B5A">
        <w:rPr>
          <w:rFonts w:ascii="Arial" w:hAnsi="Arial" w:cs="Arial"/>
        </w:rPr>
        <w:t>3</w:t>
      </w:r>
      <w:r w:rsidRPr="00C72818">
        <w:rPr>
          <w:rFonts w:ascii="Arial" w:hAnsi="Arial" w:cs="Arial"/>
        </w:rPr>
        <w:t>-</w:t>
      </w:r>
      <w:r w:rsidR="00464411">
        <w:rPr>
          <w:rFonts w:ascii="Arial" w:hAnsi="Arial" w:cs="Arial"/>
        </w:rPr>
        <w:t>2</w:t>
      </w:r>
      <w:r w:rsidR="00441B5A">
        <w:rPr>
          <w:rFonts w:ascii="Arial" w:hAnsi="Arial" w:cs="Arial"/>
        </w:rPr>
        <w:t>4</w:t>
      </w:r>
      <w:r w:rsidRPr="00C72818">
        <w:rPr>
          <w:rFonts w:ascii="Arial" w:hAnsi="Arial" w:cs="Arial"/>
        </w:rPr>
        <w:t xml:space="preserve"> and sets out conditions that will apply in addition to the Wholesale Contract/Wholesale-Retail Code.</w:t>
      </w:r>
    </w:p>
    <w:p w14:paraId="64A70C58" w14:textId="37C9A525" w:rsidR="00F77EA5" w:rsidRDefault="004A1671" w:rsidP="004616F3">
      <w:pPr>
        <w:tabs>
          <w:tab w:val="left" w:pos="927"/>
        </w:tabs>
        <w:rPr>
          <w:rFonts w:ascii="Arial" w:hAnsi="Arial" w:cs="Arial"/>
        </w:rPr>
      </w:pPr>
      <w:r w:rsidRPr="00C72818">
        <w:rPr>
          <w:rFonts w:ascii="Arial" w:hAnsi="Arial" w:cs="Arial"/>
          <w:b/>
        </w:rPr>
        <w:t xml:space="preserve">Part </w:t>
      </w:r>
      <w:r w:rsidR="00C72818">
        <w:rPr>
          <w:rFonts w:ascii="Arial" w:hAnsi="Arial" w:cs="Arial"/>
          <w:b/>
        </w:rPr>
        <w:t>D</w:t>
      </w:r>
      <w:r w:rsidRPr="00C72818">
        <w:rPr>
          <w:rFonts w:ascii="Arial" w:hAnsi="Arial" w:cs="Arial"/>
          <w:b/>
        </w:rPr>
        <w:t>: Payment and credit support terms</w:t>
      </w:r>
      <w:r w:rsidRPr="00C72818">
        <w:rPr>
          <w:rFonts w:ascii="Arial" w:hAnsi="Arial" w:cs="Arial"/>
        </w:rPr>
        <w:t xml:space="preserve"> – sets out the payment and credit terms which will apply in respect of all primary and non-primary wholesale charges payable to </w:t>
      </w:r>
      <w:r w:rsidR="00F77EA5" w:rsidRPr="00C72818">
        <w:rPr>
          <w:rFonts w:ascii="Arial" w:hAnsi="Arial" w:cs="Arial"/>
        </w:rPr>
        <w:t>County Water</w:t>
      </w:r>
      <w:r w:rsidRPr="00C72818">
        <w:rPr>
          <w:rFonts w:ascii="Arial" w:hAnsi="Arial" w:cs="Arial"/>
        </w:rPr>
        <w:t xml:space="preserve"> by a retailer.</w:t>
      </w:r>
      <w:r w:rsidRPr="00F77EA5">
        <w:rPr>
          <w:rFonts w:ascii="Arial" w:hAnsi="Arial" w:cs="Arial"/>
        </w:rPr>
        <w:t xml:space="preserve"> </w:t>
      </w:r>
    </w:p>
    <w:p w14:paraId="4DD13D8E" w14:textId="696D6857" w:rsidR="00C72818" w:rsidRPr="00C72818" w:rsidRDefault="00C72818" w:rsidP="004616F3">
      <w:pPr>
        <w:tabs>
          <w:tab w:val="left" w:pos="927"/>
        </w:tabs>
        <w:rPr>
          <w:rFonts w:ascii="Arial" w:hAnsi="Arial" w:cs="Arial"/>
        </w:rPr>
      </w:pPr>
      <w:r w:rsidRPr="00C72818">
        <w:rPr>
          <w:rFonts w:ascii="Arial" w:hAnsi="Arial" w:cs="Arial"/>
          <w:b/>
        </w:rPr>
        <w:t xml:space="preserve">Part </w:t>
      </w:r>
      <w:r>
        <w:rPr>
          <w:rFonts w:ascii="Arial" w:hAnsi="Arial" w:cs="Arial"/>
          <w:b/>
        </w:rPr>
        <w:t>E</w:t>
      </w:r>
      <w:r w:rsidRPr="00C72818">
        <w:rPr>
          <w:rFonts w:ascii="Arial" w:hAnsi="Arial" w:cs="Arial"/>
          <w:b/>
        </w:rPr>
        <w:t>: Defined terms</w:t>
      </w:r>
      <w:r w:rsidRPr="00C72818">
        <w:rPr>
          <w:rFonts w:ascii="Arial" w:hAnsi="Arial" w:cs="Arial"/>
        </w:rPr>
        <w:t xml:space="preserve"> – explains the meaning of key terms used within this document</w:t>
      </w:r>
      <w:r>
        <w:rPr>
          <w:rFonts w:ascii="Arial" w:hAnsi="Arial" w:cs="Arial"/>
        </w:rPr>
        <w:t>.</w:t>
      </w:r>
    </w:p>
    <w:p w14:paraId="466E78FE" w14:textId="172475D4" w:rsidR="00CD3019" w:rsidRDefault="00CD3019" w:rsidP="004616F3">
      <w:pPr>
        <w:tabs>
          <w:tab w:val="left" w:pos="927"/>
        </w:tabs>
        <w:rPr>
          <w:rFonts w:ascii="Arial" w:hAnsi="Arial" w:cs="Arial"/>
        </w:rPr>
      </w:pPr>
    </w:p>
    <w:p w14:paraId="6CC8F96A" w14:textId="75154892" w:rsidR="00CD3019" w:rsidRDefault="00CD3019" w:rsidP="004616F3">
      <w:pPr>
        <w:tabs>
          <w:tab w:val="left" w:pos="927"/>
        </w:tabs>
        <w:rPr>
          <w:rFonts w:ascii="Arial" w:hAnsi="Arial" w:cs="Arial"/>
        </w:rPr>
      </w:pPr>
    </w:p>
    <w:p w14:paraId="4C8E0CFD" w14:textId="00951ACF" w:rsidR="00CD3019" w:rsidRDefault="00CD3019" w:rsidP="004616F3">
      <w:pPr>
        <w:tabs>
          <w:tab w:val="left" w:pos="927"/>
        </w:tabs>
        <w:rPr>
          <w:rFonts w:ascii="Arial" w:hAnsi="Arial" w:cs="Arial"/>
        </w:rPr>
      </w:pPr>
    </w:p>
    <w:p w14:paraId="733222F4" w14:textId="6573EDD7" w:rsidR="00CD3019" w:rsidRDefault="00CD3019" w:rsidP="004616F3">
      <w:pPr>
        <w:tabs>
          <w:tab w:val="left" w:pos="927"/>
        </w:tabs>
        <w:rPr>
          <w:rFonts w:ascii="Arial" w:hAnsi="Arial" w:cs="Arial"/>
        </w:rPr>
      </w:pPr>
    </w:p>
    <w:p w14:paraId="2B783895" w14:textId="5B95395F" w:rsidR="00CD3019" w:rsidRDefault="00CD3019" w:rsidP="004616F3">
      <w:pPr>
        <w:tabs>
          <w:tab w:val="left" w:pos="927"/>
        </w:tabs>
        <w:rPr>
          <w:rFonts w:ascii="Arial" w:hAnsi="Arial" w:cs="Arial"/>
        </w:rPr>
      </w:pPr>
    </w:p>
    <w:p w14:paraId="06C6CA4E" w14:textId="134BCF2E" w:rsidR="00D11814" w:rsidRDefault="00D11814" w:rsidP="004616F3">
      <w:pPr>
        <w:tabs>
          <w:tab w:val="left" w:pos="927"/>
        </w:tabs>
        <w:rPr>
          <w:rFonts w:ascii="Arial" w:hAnsi="Arial" w:cs="Arial"/>
        </w:rPr>
      </w:pPr>
    </w:p>
    <w:p w14:paraId="5E57DE11" w14:textId="2B6A96C2" w:rsidR="00D11814" w:rsidRDefault="00D11814" w:rsidP="004616F3">
      <w:pPr>
        <w:tabs>
          <w:tab w:val="left" w:pos="927"/>
        </w:tabs>
        <w:rPr>
          <w:rFonts w:ascii="Arial" w:hAnsi="Arial" w:cs="Arial"/>
        </w:rPr>
      </w:pPr>
    </w:p>
    <w:p w14:paraId="33265723" w14:textId="60E99834" w:rsidR="00D11814" w:rsidRDefault="00D11814" w:rsidP="004616F3">
      <w:pPr>
        <w:tabs>
          <w:tab w:val="left" w:pos="927"/>
        </w:tabs>
        <w:rPr>
          <w:rFonts w:ascii="Arial" w:hAnsi="Arial" w:cs="Arial"/>
        </w:rPr>
      </w:pPr>
    </w:p>
    <w:p w14:paraId="0032E68B" w14:textId="2FA1A7F2" w:rsidR="005924B2" w:rsidRDefault="005924B2"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94080" behindDoc="0" locked="0" layoutInCell="1" allowOverlap="1" wp14:anchorId="5CE3D4C5" wp14:editId="1496F99F">
                <wp:simplePos x="0" y="0"/>
                <wp:positionH relativeFrom="column">
                  <wp:posOffset>-866692</wp:posOffset>
                </wp:positionH>
                <wp:positionV relativeFrom="paragraph">
                  <wp:posOffset>51684</wp:posOffset>
                </wp:positionV>
                <wp:extent cx="7418070" cy="361666"/>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190B021" w14:textId="3204A703"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A: Primary charges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3D4C5" id="Text Box 18" o:spid="_x0000_s1033" type="#_x0000_t202" style="position:absolute;margin-left:-68.25pt;margin-top:4.05pt;width:584.1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" fillcolor="#069" stroked="f" strokeweight=".5pt">
                <v:textbox>
                  <w:txbxContent>
                    <w:p w14:paraId="6190B021" w14:textId="3204A703"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A: Primary charges scheme</w:t>
                      </w:r>
                    </w:p>
                  </w:txbxContent>
                </v:textbox>
              </v:shape>
            </w:pict>
          </mc:Fallback>
        </mc:AlternateContent>
      </w:r>
    </w:p>
    <w:p w14:paraId="45F545B8" w14:textId="3C2D444A" w:rsidR="005924B2" w:rsidRDefault="005924B2"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75648" behindDoc="0" locked="0" layoutInCell="1" allowOverlap="1" wp14:anchorId="442379F4" wp14:editId="0E29E5CC">
                <wp:simplePos x="0" y="0"/>
                <wp:positionH relativeFrom="column">
                  <wp:posOffset>-866140</wp:posOffset>
                </wp:positionH>
                <wp:positionV relativeFrom="paragraph">
                  <wp:posOffset>278875</wp:posOffset>
                </wp:positionV>
                <wp:extent cx="7418070" cy="361666"/>
                <wp:effectExtent l="0" t="0" r="0" b="635"/>
                <wp:wrapNone/>
                <wp:docPr id="9" name="Text Box 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C714B53" w14:textId="4E8C581B" w:rsidR="007A7A0C" w:rsidRPr="004616F3" w:rsidRDefault="007A7A0C" w:rsidP="00A704F7">
                            <w:pPr>
                              <w:pStyle w:val="NoSpacing"/>
                              <w:rPr>
                                <w:rFonts w:ascii="Arial" w:hAnsi="Arial" w:cs="Arial"/>
                                <w:color w:val="FFFFFF" w:themeColor="background1"/>
                                <w:sz w:val="32"/>
                              </w:rPr>
                            </w:pPr>
                            <w:r>
                              <w:rPr>
                                <w:rFonts w:ascii="Arial" w:hAnsi="Arial" w:cs="Arial"/>
                                <w:color w:val="FFFFFF" w:themeColor="background1"/>
                                <w:sz w:val="32"/>
                              </w:rPr>
                              <w:t xml:space="preserve">A.1.0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wholesale charges scheme </w:t>
                            </w:r>
                            <w:r w:rsidR="00180866">
                              <w:rPr>
                                <w:rFonts w:ascii="Arial" w:hAnsi="Arial" w:cs="Arial"/>
                                <w:color w:val="FFFFFF" w:themeColor="background1"/>
                                <w:sz w:val="32"/>
                              </w:rPr>
                              <w:t>202</w:t>
                            </w:r>
                            <w:r w:rsidR="00441B5A">
                              <w:rPr>
                                <w:rFonts w:ascii="Arial" w:hAnsi="Arial" w:cs="Arial"/>
                                <w:color w:val="FFFFFF" w:themeColor="background1"/>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79F4" id="Text Box 9" o:spid="_x0000_s1034" type="#_x0000_t202" style="position:absolute;margin-left:-68.2pt;margin-top:21.95pt;width:584.1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" fillcolor="#069" stroked="f" strokeweight=".5pt">
                <v:textbox>
                  <w:txbxContent>
                    <w:p w14:paraId="6C714B53" w14:textId="4E8C581B" w:rsidR="007A7A0C" w:rsidRPr="004616F3" w:rsidRDefault="007A7A0C" w:rsidP="00A704F7">
                      <w:pPr>
                        <w:pStyle w:val="NoSpacing"/>
                        <w:rPr>
                          <w:rFonts w:ascii="Arial" w:hAnsi="Arial" w:cs="Arial"/>
                          <w:color w:val="FFFFFF" w:themeColor="background1"/>
                          <w:sz w:val="32"/>
                        </w:rPr>
                      </w:pPr>
                      <w:r>
                        <w:rPr>
                          <w:rFonts w:ascii="Arial" w:hAnsi="Arial" w:cs="Arial"/>
                          <w:color w:val="FFFFFF" w:themeColor="background1"/>
                          <w:sz w:val="32"/>
                        </w:rPr>
                        <w:t xml:space="preserve">A.1.0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wholesale charges scheme </w:t>
                      </w:r>
                      <w:r w:rsidR="00180866">
                        <w:rPr>
                          <w:rFonts w:ascii="Arial" w:hAnsi="Arial" w:cs="Arial"/>
                          <w:color w:val="FFFFFF" w:themeColor="background1"/>
                          <w:sz w:val="32"/>
                        </w:rPr>
                        <w:t>202</w:t>
                      </w:r>
                      <w:r w:rsidR="00441B5A">
                        <w:rPr>
                          <w:rFonts w:ascii="Arial" w:hAnsi="Arial" w:cs="Arial"/>
                          <w:color w:val="FFFFFF" w:themeColor="background1"/>
                          <w:sz w:val="32"/>
                        </w:rPr>
                        <w:t>3</w:t>
                      </w:r>
                    </w:p>
                  </w:txbxContent>
                </v:textbox>
              </v:shape>
            </w:pict>
          </mc:Fallback>
        </mc:AlternateContent>
      </w:r>
    </w:p>
    <w:p w14:paraId="598036FB" w14:textId="13A5B4D6" w:rsidR="00CD3019" w:rsidRDefault="00CD3019" w:rsidP="004616F3">
      <w:pPr>
        <w:tabs>
          <w:tab w:val="left" w:pos="927"/>
        </w:tabs>
        <w:rPr>
          <w:rFonts w:ascii="Arial" w:hAnsi="Arial" w:cs="Arial"/>
        </w:rPr>
      </w:pPr>
    </w:p>
    <w:p w14:paraId="34824F51" w14:textId="17AAAD15" w:rsidR="00A704F7" w:rsidRDefault="00A704F7" w:rsidP="004616F3">
      <w:pPr>
        <w:tabs>
          <w:tab w:val="left" w:pos="927"/>
        </w:tabs>
        <w:rPr>
          <w:rFonts w:ascii="Arial" w:hAnsi="Arial" w:cs="Arial"/>
        </w:rPr>
      </w:pPr>
    </w:p>
    <w:p w14:paraId="653EE440" w14:textId="08351ADB" w:rsidR="00C179C2" w:rsidRPr="00A704F7" w:rsidRDefault="00CD3019" w:rsidP="004616F3">
      <w:pPr>
        <w:tabs>
          <w:tab w:val="left" w:pos="927"/>
        </w:tabs>
        <w:rPr>
          <w:rFonts w:ascii="Arial" w:hAnsi="Arial" w:cs="Arial"/>
        </w:rPr>
      </w:pPr>
      <w:r w:rsidRPr="00A704F7">
        <w:rPr>
          <w:rFonts w:ascii="Arial" w:hAnsi="Arial" w:cs="Arial"/>
        </w:rPr>
        <w:t xml:space="preserve">This scheme, referred to as the </w:t>
      </w:r>
      <w:r w:rsidR="00C179C2" w:rsidRPr="00A704F7">
        <w:rPr>
          <w:rFonts w:ascii="Arial" w:hAnsi="Arial" w:cs="Arial"/>
        </w:rPr>
        <w:t>County Water</w:t>
      </w:r>
      <w:r w:rsidRPr="00A704F7">
        <w:rPr>
          <w:rFonts w:ascii="Arial" w:hAnsi="Arial" w:cs="Arial"/>
        </w:rPr>
        <w:t xml:space="preserve"> Limited </w:t>
      </w:r>
      <w:r w:rsidR="00336421">
        <w:rPr>
          <w:rFonts w:ascii="Arial" w:hAnsi="Arial" w:cs="Arial"/>
        </w:rPr>
        <w:t>Waste water</w:t>
      </w:r>
      <w:r w:rsidRPr="00A704F7">
        <w:rPr>
          <w:rFonts w:ascii="Arial" w:hAnsi="Arial" w:cs="Arial"/>
        </w:rPr>
        <w:t xml:space="preserve"> wholesale charges scheme </w:t>
      </w:r>
      <w:r w:rsidR="00180866">
        <w:rPr>
          <w:rFonts w:ascii="Arial" w:hAnsi="Arial" w:cs="Arial"/>
        </w:rPr>
        <w:t>202</w:t>
      </w:r>
      <w:r w:rsidR="00441B5A">
        <w:rPr>
          <w:rFonts w:ascii="Arial" w:hAnsi="Arial" w:cs="Arial"/>
        </w:rPr>
        <w:t>3</w:t>
      </w:r>
      <w:r w:rsidRPr="00A704F7">
        <w:rPr>
          <w:rFonts w:ascii="Arial" w:hAnsi="Arial" w:cs="Arial"/>
        </w:rPr>
        <w:t xml:space="preserve">, is made by </w:t>
      </w:r>
      <w:r w:rsidR="00C179C2" w:rsidRPr="00A704F7">
        <w:rPr>
          <w:rFonts w:ascii="Arial" w:hAnsi="Arial" w:cs="Arial"/>
        </w:rPr>
        <w:t>County Water</w:t>
      </w:r>
      <w:r w:rsidRPr="00A704F7">
        <w:rPr>
          <w:rFonts w:ascii="Arial" w:hAnsi="Arial" w:cs="Arial"/>
        </w:rPr>
        <w:t xml:space="preserve"> Limited under Section 143 of the Water Industry Act1991 and shall operate from </w:t>
      </w:r>
      <w:r w:rsidR="00464411">
        <w:rPr>
          <w:rFonts w:ascii="Arial" w:hAnsi="Arial" w:cs="Arial"/>
        </w:rPr>
        <w:t>1</w:t>
      </w:r>
      <w:r w:rsidRPr="00A704F7">
        <w:rPr>
          <w:rFonts w:ascii="Arial" w:hAnsi="Arial" w:cs="Arial"/>
        </w:rPr>
        <w:t xml:space="preserve"> April </w:t>
      </w:r>
      <w:r w:rsidR="00180866">
        <w:rPr>
          <w:rFonts w:ascii="Arial" w:hAnsi="Arial" w:cs="Arial"/>
        </w:rPr>
        <w:t>202</w:t>
      </w:r>
      <w:r w:rsidR="00441B5A">
        <w:rPr>
          <w:rFonts w:ascii="Arial" w:hAnsi="Arial" w:cs="Arial"/>
        </w:rPr>
        <w:t>3</w:t>
      </w:r>
      <w:r w:rsidRPr="00A704F7">
        <w:rPr>
          <w:rFonts w:ascii="Arial" w:hAnsi="Arial" w:cs="Arial"/>
        </w:rPr>
        <w:t xml:space="preserve"> until 31 March </w:t>
      </w:r>
      <w:r w:rsidR="00180866">
        <w:rPr>
          <w:rFonts w:ascii="Arial" w:hAnsi="Arial" w:cs="Arial"/>
        </w:rPr>
        <w:t>202</w:t>
      </w:r>
      <w:r w:rsidR="00441B5A">
        <w:rPr>
          <w:rFonts w:ascii="Arial" w:hAnsi="Arial" w:cs="Arial"/>
        </w:rPr>
        <w:t>4</w:t>
      </w:r>
      <w:r w:rsidR="00180866">
        <w:rPr>
          <w:rFonts w:ascii="Arial" w:hAnsi="Arial" w:cs="Arial"/>
        </w:rPr>
        <w:t xml:space="preserve"> </w:t>
      </w:r>
      <w:r w:rsidRPr="00A704F7">
        <w:rPr>
          <w:rFonts w:ascii="Arial" w:hAnsi="Arial" w:cs="Arial"/>
        </w:rPr>
        <w:t>inclusive Part A: and Part B: of this document set out wholesale charges applicable to households and wholesale charges that we make to retailers for the provision of services to non</w:t>
      </w:r>
      <w:r w:rsidR="00C179C2" w:rsidRPr="00A704F7">
        <w:rPr>
          <w:rFonts w:ascii="Arial" w:hAnsi="Arial" w:cs="Arial"/>
        </w:rPr>
        <w:t>-</w:t>
      </w:r>
      <w:r w:rsidRPr="00A704F7">
        <w:rPr>
          <w:rFonts w:ascii="Arial" w:hAnsi="Arial" w:cs="Arial"/>
        </w:rPr>
        <w:t xml:space="preserve">household customers. </w:t>
      </w:r>
    </w:p>
    <w:p w14:paraId="5030CF56" w14:textId="0FABEE78" w:rsidR="00C179C2" w:rsidRPr="00A704F7" w:rsidRDefault="00CD3019" w:rsidP="004616F3">
      <w:pPr>
        <w:tabs>
          <w:tab w:val="left" w:pos="927"/>
        </w:tabs>
        <w:rPr>
          <w:rFonts w:ascii="Arial" w:hAnsi="Arial" w:cs="Arial"/>
        </w:rPr>
      </w:pPr>
      <w:r w:rsidRPr="00A704F7">
        <w:rPr>
          <w:rFonts w:ascii="Arial" w:hAnsi="Arial" w:cs="Arial"/>
        </w:rPr>
        <w:t xml:space="preserve">These charges apply to the period </w:t>
      </w:r>
      <w:r w:rsidR="00464411">
        <w:rPr>
          <w:rFonts w:ascii="Arial" w:hAnsi="Arial" w:cs="Arial"/>
        </w:rPr>
        <w:t>1</w:t>
      </w:r>
      <w:r w:rsidRPr="00A704F7">
        <w:rPr>
          <w:rFonts w:ascii="Arial" w:hAnsi="Arial" w:cs="Arial"/>
        </w:rPr>
        <w:t xml:space="preserve"> April </w:t>
      </w:r>
      <w:r w:rsidR="00180866">
        <w:rPr>
          <w:rFonts w:ascii="Arial" w:hAnsi="Arial" w:cs="Arial"/>
        </w:rPr>
        <w:t>202</w:t>
      </w:r>
      <w:r w:rsidR="00441B5A">
        <w:rPr>
          <w:rFonts w:ascii="Arial" w:hAnsi="Arial" w:cs="Arial"/>
        </w:rPr>
        <w:t>3</w:t>
      </w:r>
      <w:r w:rsidRPr="00A704F7">
        <w:rPr>
          <w:rFonts w:ascii="Arial" w:hAnsi="Arial" w:cs="Arial"/>
        </w:rPr>
        <w:t xml:space="preserve"> until 31 March </w:t>
      </w:r>
      <w:r w:rsidR="00180866">
        <w:rPr>
          <w:rFonts w:ascii="Arial" w:hAnsi="Arial" w:cs="Arial"/>
        </w:rPr>
        <w:t>202</w:t>
      </w:r>
      <w:r w:rsidR="00441B5A">
        <w:rPr>
          <w:rFonts w:ascii="Arial" w:hAnsi="Arial" w:cs="Arial"/>
        </w:rPr>
        <w:t>4</w:t>
      </w:r>
      <w:r w:rsidRPr="00A704F7">
        <w:rPr>
          <w:rFonts w:ascii="Arial" w:hAnsi="Arial" w:cs="Arial"/>
        </w:rPr>
        <w:t xml:space="preserve">. Wholesale charges have been prepared to comply with wholesale charging rules issued by Ofwat. Although the wholesale charging rules only apply to charges that wholesalers make to retailers for the provision of services to non-household customers, for the purposes of demonstrating compliance with the price controls determined by Ofwat in respect of wholesale </w:t>
      </w:r>
      <w:r w:rsidR="00C179C2" w:rsidRPr="00A704F7">
        <w:rPr>
          <w:rFonts w:ascii="Arial" w:hAnsi="Arial" w:cs="Arial"/>
        </w:rPr>
        <w:t>activities,</w:t>
      </w:r>
      <w:r w:rsidRPr="00A704F7">
        <w:rPr>
          <w:rFonts w:ascii="Arial" w:hAnsi="Arial" w:cs="Arial"/>
        </w:rPr>
        <w:t xml:space="preserve"> we are required, to publish all wholesale charges in one document. </w:t>
      </w:r>
    </w:p>
    <w:p w14:paraId="50FE7419" w14:textId="1EFB25D6" w:rsidR="00657722" w:rsidRDefault="00657722" w:rsidP="004616F3">
      <w:pPr>
        <w:tabs>
          <w:tab w:val="left" w:pos="927"/>
        </w:tabs>
        <w:rPr>
          <w:rFonts w:ascii="Arial" w:hAnsi="Arial" w:cs="Arial"/>
          <w:color w:val="FF0000"/>
        </w:rPr>
      </w:pPr>
      <w:r>
        <w:rPr>
          <w:rFonts w:ascii="Arial" w:hAnsi="Arial" w:cs="Arial"/>
          <w:b/>
          <w:noProof/>
          <w:sz w:val="24"/>
          <w:lang w:eastAsia="en-GB"/>
        </w:rPr>
        <mc:AlternateContent>
          <mc:Choice Requires="wps">
            <w:drawing>
              <wp:anchor distT="0" distB="0" distL="114300" distR="114300" simplePos="0" relativeHeight="251685888" behindDoc="0" locked="0" layoutInCell="1" allowOverlap="1" wp14:anchorId="15300427" wp14:editId="3B754B4C">
                <wp:simplePos x="0" y="0"/>
                <wp:positionH relativeFrom="column">
                  <wp:posOffset>-866692</wp:posOffset>
                </wp:positionH>
                <wp:positionV relativeFrom="paragraph">
                  <wp:posOffset>99392</wp:posOffset>
                </wp:positionV>
                <wp:extent cx="7418070" cy="361666"/>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A1B36D2" w14:textId="62261DFD"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 xml:space="preserve">A.1.1 Interpretation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0427" id="Text Box 14" o:spid="_x0000_s1035" type="#_x0000_t202" style="position:absolute;margin-left:-68.25pt;margin-top:7.85pt;width:584.1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" fillcolor="#069" stroked="f" strokeweight=".5pt">
                <v:textbox>
                  <w:txbxContent>
                    <w:p w14:paraId="1A1B36D2" w14:textId="62261DFD"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 xml:space="preserve">A.1.1 Interpretation </w:t>
                      </w:r>
                    </w:p>
                  </w:txbxContent>
                </v:textbox>
              </v:shape>
            </w:pict>
          </mc:Fallback>
        </mc:AlternateContent>
      </w:r>
    </w:p>
    <w:p w14:paraId="69C3B268" w14:textId="00CBA164" w:rsidR="00657722" w:rsidRPr="00A704F7" w:rsidRDefault="00657722" w:rsidP="004616F3">
      <w:pPr>
        <w:tabs>
          <w:tab w:val="left" w:pos="927"/>
        </w:tabs>
        <w:rPr>
          <w:rFonts w:ascii="Arial" w:hAnsi="Arial" w:cs="Arial"/>
          <w:color w:val="FF0000"/>
        </w:rPr>
      </w:pPr>
    </w:p>
    <w:p w14:paraId="1DD16893" w14:textId="77777777" w:rsidR="00657722" w:rsidRDefault="00657722" w:rsidP="004616F3">
      <w:pPr>
        <w:tabs>
          <w:tab w:val="left" w:pos="927"/>
        </w:tabs>
        <w:rPr>
          <w:rFonts w:ascii="Arial" w:hAnsi="Arial" w:cs="Arial"/>
        </w:rPr>
      </w:pPr>
    </w:p>
    <w:p w14:paraId="5DE45D12" w14:textId="11B22CF7" w:rsidR="00C179C2" w:rsidRPr="00C72818" w:rsidRDefault="00C179C2" w:rsidP="00C72818">
      <w:pPr>
        <w:pStyle w:val="ListParagraph"/>
        <w:numPr>
          <w:ilvl w:val="0"/>
          <w:numId w:val="9"/>
        </w:numPr>
        <w:tabs>
          <w:tab w:val="left" w:pos="927"/>
        </w:tabs>
        <w:rPr>
          <w:rFonts w:ascii="Arial" w:hAnsi="Arial" w:cs="Arial"/>
        </w:rPr>
      </w:pPr>
      <w:r w:rsidRPr="00C72818">
        <w:rPr>
          <w:rFonts w:ascii="Arial" w:hAnsi="Arial" w:cs="Arial"/>
        </w:rPr>
        <w:t xml:space="preserve">Subject to sub-clause (2), the Interpretation Act 1978 shall have effect for the interpretation of this scheme as it has effect for the interpretation of an Act of Parliament. </w:t>
      </w:r>
    </w:p>
    <w:p w14:paraId="70C35C20" w14:textId="27991B66" w:rsidR="00C72818" w:rsidRPr="00C72818" w:rsidRDefault="00C72818" w:rsidP="00C72818">
      <w:pPr>
        <w:pStyle w:val="ListParagraph"/>
        <w:numPr>
          <w:ilvl w:val="0"/>
          <w:numId w:val="9"/>
        </w:numPr>
        <w:tabs>
          <w:tab w:val="left" w:pos="927"/>
        </w:tabs>
        <w:rPr>
          <w:rFonts w:ascii="Arial" w:hAnsi="Arial" w:cs="Arial"/>
        </w:rPr>
      </w:pPr>
      <w:proofErr w:type="gramStart"/>
      <w:r w:rsidRPr="00C72818">
        <w:rPr>
          <w:rFonts w:ascii="Arial" w:hAnsi="Arial" w:cs="Arial"/>
        </w:rPr>
        <w:t>All of</w:t>
      </w:r>
      <w:proofErr w:type="gramEnd"/>
      <w:r w:rsidRPr="00C72818">
        <w:rPr>
          <w:rFonts w:ascii="Arial" w:hAnsi="Arial" w:cs="Arial"/>
        </w:rPr>
        <w:t xml:space="preserve"> the defined terms that are set out in Part </w:t>
      </w:r>
      <w:r>
        <w:rPr>
          <w:rFonts w:ascii="Arial" w:hAnsi="Arial" w:cs="Arial"/>
        </w:rPr>
        <w:t>E</w:t>
      </w:r>
      <w:r w:rsidRPr="00C72818">
        <w:rPr>
          <w:rFonts w:ascii="Arial" w:hAnsi="Arial" w:cs="Arial"/>
        </w:rPr>
        <w:t xml:space="preserve">: Defined terms of the Wholesale Tariff Document and appear in this scheme shall have the meaning set out in Part </w:t>
      </w:r>
      <w:r>
        <w:rPr>
          <w:rFonts w:ascii="Arial" w:hAnsi="Arial" w:cs="Arial"/>
        </w:rPr>
        <w:t>E</w:t>
      </w:r>
      <w:r w:rsidRPr="00C72818">
        <w:rPr>
          <w:rFonts w:ascii="Arial" w:hAnsi="Arial" w:cs="Arial"/>
        </w:rPr>
        <w:t>: Defined terms of the Wholesale Tariff Document.</w:t>
      </w:r>
    </w:p>
    <w:p w14:paraId="67D4CDC1" w14:textId="5DFD8C7F" w:rsidR="00657722" w:rsidRDefault="00657722"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87936" behindDoc="0" locked="0" layoutInCell="1" allowOverlap="1" wp14:anchorId="25EEA429" wp14:editId="7626FC49">
                <wp:simplePos x="0" y="0"/>
                <wp:positionH relativeFrom="column">
                  <wp:posOffset>-866140</wp:posOffset>
                </wp:positionH>
                <wp:positionV relativeFrom="paragraph">
                  <wp:posOffset>170760</wp:posOffset>
                </wp:positionV>
                <wp:extent cx="7418070" cy="36131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16E1D041" w14:textId="4A177AC9"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A.1.2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A429" id="Text Box 15" o:spid="_x0000_s1036" type="#_x0000_t202" style="position:absolute;margin-left:-68.2pt;margin-top:13.45pt;width:584.1pt;height:2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" fillcolor="#069" stroked="f" strokeweight=".5pt">
                <v:textbox>
                  <w:txbxContent>
                    <w:p w14:paraId="16E1D041" w14:textId="4A177AC9"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A.1.2 General</w:t>
                      </w:r>
                    </w:p>
                  </w:txbxContent>
                </v:textbox>
              </v:shape>
            </w:pict>
          </mc:Fallback>
        </mc:AlternateContent>
      </w:r>
    </w:p>
    <w:p w14:paraId="46D80573" w14:textId="6855F7EC" w:rsidR="00657722" w:rsidRDefault="00657722" w:rsidP="004616F3">
      <w:pPr>
        <w:tabs>
          <w:tab w:val="left" w:pos="927"/>
        </w:tabs>
        <w:rPr>
          <w:rFonts w:ascii="Arial" w:hAnsi="Arial" w:cs="Arial"/>
        </w:rPr>
      </w:pPr>
    </w:p>
    <w:p w14:paraId="2D49937A" w14:textId="77777777" w:rsidR="00657722" w:rsidRDefault="00657722" w:rsidP="004616F3">
      <w:pPr>
        <w:tabs>
          <w:tab w:val="left" w:pos="927"/>
        </w:tabs>
        <w:rPr>
          <w:rFonts w:ascii="Arial" w:hAnsi="Arial" w:cs="Arial"/>
        </w:rPr>
      </w:pPr>
    </w:p>
    <w:p w14:paraId="512A01FF" w14:textId="51A4CD87" w:rsidR="00C179C2" w:rsidRPr="00A704F7" w:rsidRDefault="00C179C2" w:rsidP="004616F3">
      <w:pPr>
        <w:tabs>
          <w:tab w:val="left" w:pos="927"/>
        </w:tabs>
        <w:rPr>
          <w:rFonts w:ascii="Arial" w:hAnsi="Arial" w:cs="Arial"/>
        </w:rPr>
      </w:pPr>
      <w:r w:rsidRPr="00A704F7">
        <w:rPr>
          <w:rFonts w:ascii="Arial" w:hAnsi="Arial" w:cs="Arial"/>
        </w:rPr>
        <w:t xml:space="preserve">(1) It is intended that the charges to be made under this scheme will, with any other relevant sources of revenue, provide the income necessary to finance the </w:t>
      </w:r>
      <w:proofErr w:type="gramStart"/>
      <w:r w:rsidR="00336421">
        <w:rPr>
          <w:rFonts w:ascii="Arial" w:hAnsi="Arial" w:cs="Arial"/>
        </w:rPr>
        <w:t>waste water</w:t>
      </w:r>
      <w:proofErr w:type="gramEnd"/>
      <w:r w:rsidRPr="00A704F7">
        <w:rPr>
          <w:rFonts w:ascii="Arial" w:hAnsi="Arial" w:cs="Arial"/>
        </w:rPr>
        <w:t xml:space="preserve"> and sewage disposal functions of County Water. These include elements of foul water and surface water. These charges will be fixed with due regard to the principles laid down in the Act. </w:t>
      </w:r>
    </w:p>
    <w:p w14:paraId="1BC2203A" w14:textId="56433CE3" w:rsidR="00C179C2" w:rsidRDefault="00C179C2" w:rsidP="004616F3">
      <w:pPr>
        <w:tabs>
          <w:tab w:val="left" w:pos="927"/>
        </w:tabs>
        <w:rPr>
          <w:rFonts w:ascii="Arial" w:hAnsi="Arial" w:cs="Arial"/>
        </w:rPr>
      </w:pPr>
      <w:r w:rsidRPr="00A704F7">
        <w:rPr>
          <w:rFonts w:ascii="Arial" w:hAnsi="Arial" w:cs="Arial"/>
        </w:rPr>
        <w:t xml:space="preserve">(2) To the extent that any part of this charges scheme is inconsistent with any agreement between a retailer and </w:t>
      </w:r>
      <w:r w:rsidR="00A704F7" w:rsidRPr="00A704F7">
        <w:rPr>
          <w:rFonts w:ascii="Arial" w:hAnsi="Arial" w:cs="Arial"/>
        </w:rPr>
        <w:t>County Water</w:t>
      </w:r>
      <w:r w:rsidRPr="00A704F7">
        <w:rPr>
          <w:rFonts w:ascii="Arial" w:hAnsi="Arial" w:cs="Arial"/>
        </w:rPr>
        <w:t>, the terms of the agreement will prevail.</w:t>
      </w:r>
    </w:p>
    <w:p w14:paraId="6C83AE33" w14:textId="37BCCE87" w:rsidR="00602D7A" w:rsidRDefault="00602D7A" w:rsidP="004616F3">
      <w:pPr>
        <w:tabs>
          <w:tab w:val="left" w:pos="927"/>
        </w:tabs>
        <w:rPr>
          <w:rFonts w:ascii="Arial" w:hAnsi="Arial" w:cs="Arial"/>
        </w:rPr>
      </w:pPr>
    </w:p>
    <w:p w14:paraId="614BECE7" w14:textId="38CC4E48" w:rsidR="00C72818" w:rsidRDefault="00C72818" w:rsidP="004616F3">
      <w:pPr>
        <w:tabs>
          <w:tab w:val="left" w:pos="927"/>
        </w:tabs>
        <w:rPr>
          <w:rFonts w:ascii="Arial" w:hAnsi="Arial" w:cs="Arial"/>
        </w:rPr>
      </w:pPr>
    </w:p>
    <w:p w14:paraId="10E3FD5F" w14:textId="157BD77E" w:rsidR="00C72818" w:rsidRDefault="00C72818" w:rsidP="004616F3">
      <w:pPr>
        <w:tabs>
          <w:tab w:val="left" w:pos="927"/>
        </w:tabs>
        <w:rPr>
          <w:rFonts w:ascii="Arial" w:hAnsi="Arial" w:cs="Arial"/>
        </w:rPr>
      </w:pPr>
    </w:p>
    <w:p w14:paraId="4B06B62B" w14:textId="7EA91D77" w:rsidR="00C72818" w:rsidRDefault="00C72818" w:rsidP="004616F3">
      <w:pPr>
        <w:tabs>
          <w:tab w:val="left" w:pos="927"/>
        </w:tabs>
        <w:rPr>
          <w:rFonts w:ascii="Arial" w:hAnsi="Arial" w:cs="Arial"/>
        </w:rPr>
      </w:pPr>
    </w:p>
    <w:p w14:paraId="38DC6241" w14:textId="77777777" w:rsidR="00FB58A5" w:rsidRDefault="00FB58A5" w:rsidP="004616F3">
      <w:pPr>
        <w:tabs>
          <w:tab w:val="left" w:pos="927"/>
        </w:tabs>
        <w:rPr>
          <w:rFonts w:ascii="Arial" w:hAnsi="Arial" w:cs="Arial"/>
        </w:rPr>
      </w:pPr>
    </w:p>
    <w:p w14:paraId="69042F34" w14:textId="1A865DC6" w:rsidR="00602D7A" w:rsidRDefault="00602D7A"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77696" behindDoc="0" locked="0" layoutInCell="1" allowOverlap="1" wp14:anchorId="2FC8396A" wp14:editId="10921A93">
                <wp:simplePos x="0" y="0"/>
                <wp:positionH relativeFrom="column">
                  <wp:posOffset>-859155</wp:posOffset>
                </wp:positionH>
                <wp:positionV relativeFrom="paragraph">
                  <wp:posOffset>-31446</wp:posOffset>
                </wp:positionV>
                <wp:extent cx="7418070" cy="361666"/>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36DEEAC" w14:textId="2852288B" w:rsidR="007A7A0C" w:rsidRPr="004616F3" w:rsidRDefault="007A7A0C" w:rsidP="00602D7A">
                            <w:pPr>
                              <w:pStyle w:val="NoSpacing"/>
                              <w:rPr>
                                <w:rFonts w:ascii="Arial" w:hAnsi="Arial" w:cs="Arial"/>
                                <w:color w:val="FFFFFF" w:themeColor="background1"/>
                                <w:sz w:val="32"/>
                              </w:rPr>
                            </w:pPr>
                            <w:r>
                              <w:rPr>
                                <w:rFonts w:ascii="Arial" w:hAnsi="Arial" w:cs="Arial"/>
                                <w:color w:val="FFFFFF" w:themeColor="background1"/>
                                <w:sz w:val="32"/>
                              </w:rPr>
                              <w:t xml:space="preserve">A.1.3 Other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396A" id="Text Box 10" o:spid="_x0000_s1037" type="#_x0000_t202" style="position:absolute;margin-left:-67.65pt;margin-top:-2.5pt;width:584.1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" fillcolor="#069" stroked="f" strokeweight=".5pt">
                <v:textbox>
                  <w:txbxContent>
                    <w:p w14:paraId="036DEEAC" w14:textId="2852288B" w:rsidR="007A7A0C" w:rsidRPr="004616F3" w:rsidRDefault="007A7A0C" w:rsidP="00602D7A">
                      <w:pPr>
                        <w:pStyle w:val="NoSpacing"/>
                        <w:rPr>
                          <w:rFonts w:ascii="Arial" w:hAnsi="Arial" w:cs="Arial"/>
                          <w:color w:val="FFFFFF" w:themeColor="background1"/>
                          <w:sz w:val="32"/>
                        </w:rPr>
                      </w:pPr>
                      <w:r>
                        <w:rPr>
                          <w:rFonts w:ascii="Arial" w:hAnsi="Arial" w:cs="Arial"/>
                          <w:color w:val="FFFFFF" w:themeColor="background1"/>
                          <w:sz w:val="32"/>
                        </w:rPr>
                        <w:t xml:space="preserve">A.1.3 Other charges </w:t>
                      </w:r>
                    </w:p>
                  </w:txbxContent>
                </v:textbox>
              </v:shape>
            </w:pict>
          </mc:Fallback>
        </mc:AlternateContent>
      </w:r>
    </w:p>
    <w:p w14:paraId="0680D373" w14:textId="173C8A6B" w:rsidR="00602D7A" w:rsidRDefault="00602D7A" w:rsidP="004616F3">
      <w:pPr>
        <w:tabs>
          <w:tab w:val="left" w:pos="927"/>
        </w:tabs>
        <w:rPr>
          <w:rFonts w:ascii="Arial" w:hAnsi="Arial" w:cs="Arial"/>
        </w:rPr>
      </w:pPr>
    </w:p>
    <w:p w14:paraId="64724E4B" w14:textId="77BF9086" w:rsidR="00167058" w:rsidRDefault="00602D7A" w:rsidP="00736F07">
      <w:pPr>
        <w:pStyle w:val="ListParagraph"/>
        <w:numPr>
          <w:ilvl w:val="0"/>
          <w:numId w:val="4"/>
        </w:numPr>
        <w:tabs>
          <w:tab w:val="left" w:pos="927"/>
        </w:tabs>
        <w:rPr>
          <w:rFonts w:ascii="Arial" w:hAnsi="Arial" w:cs="Arial"/>
        </w:rPr>
      </w:pPr>
      <w:r w:rsidRPr="00736F07">
        <w:rPr>
          <w:rFonts w:ascii="Arial" w:hAnsi="Arial" w:cs="Arial"/>
        </w:rPr>
        <w:t xml:space="preserve">For services performed, facilities </w:t>
      </w:r>
      <w:proofErr w:type="gramStart"/>
      <w:r w:rsidRPr="00736F07">
        <w:rPr>
          <w:rFonts w:ascii="Arial" w:hAnsi="Arial" w:cs="Arial"/>
        </w:rPr>
        <w:t>provided</w:t>
      </w:r>
      <w:proofErr w:type="gramEnd"/>
      <w:r w:rsidRPr="00736F07">
        <w:rPr>
          <w:rFonts w:ascii="Arial" w:hAnsi="Arial" w:cs="Arial"/>
        </w:rPr>
        <w:t xml:space="preserve"> or rights made available in pursuance of the </w:t>
      </w:r>
      <w:r w:rsidR="00336421">
        <w:rPr>
          <w:rFonts w:ascii="Arial" w:hAnsi="Arial" w:cs="Arial"/>
        </w:rPr>
        <w:t>waste water</w:t>
      </w:r>
      <w:r w:rsidRPr="00736F07">
        <w:rPr>
          <w:rFonts w:ascii="Arial" w:hAnsi="Arial" w:cs="Arial"/>
        </w:rPr>
        <w:t xml:space="preserve"> and sewage disposal functions of </w:t>
      </w:r>
      <w:r w:rsidR="00167058" w:rsidRPr="00736F07">
        <w:rPr>
          <w:rFonts w:ascii="Arial" w:hAnsi="Arial" w:cs="Arial"/>
        </w:rPr>
        <w:t>County</w:t>
      </w:r>
      <w:r w:rsidRPr="00736F07">
        <w:rPr>
          <w:rFonts w:ascii="Arial" w:hAnsi="Arial" w:cs="Arial"/>
        </w:rPr>
        <w:t xml:space="preserve"> Water, </w:t>
      </w:r>
      <w:r w:rsidR="00167058" w:rsidRPr="00736F07">
        <w:rPr>
          <w:rFonts w:ascii="Arial" w:hAnsi="Arial" w:cs="Arial"/>
        </w:rPr>
        <w:t xml:space="preserve">County </w:t>
      </w:r>
      <w:r w:rsidRPr="00736F07">
        <w:rPr>
          <w:rFonts w:ascii="Arial" w:hAnsi="Arial" w:cs="Arial"/>
        </w:rPr>
        <w:t xml:space="preserve">Water may fix such charges as appear to be appropriate. </w:t>
      </w:r>
    </w:p>
    <w:p w14:paraId="25F07C9E" w14:textId="77777777" w:rsidR="00736F07" w:rsidRPr="00736F07" w:rsidRDefault="00736F07" w:rsidP="00736F07">
      <w:pPr>
        <w:pStyle w:val="ListParagraph"/>
        <w:tabs>
          <w:tab w:val="left" w:pos="927"/>
        </w:tabs>
        <w:ind w:left="750"/>
        <w:rPr>
          <w:rFonts w:ascii="Arial" w:hAnsi="Arial" w:cs="Arial"/>
        </w:rPr>
      </w:pPr>
    </w:p>
    <w:p w14:paraId="582C9CA3" w14:textId="0913E93C" w:rsidR="00167058" w:rsidRPr="00736F07" w:rsidRDefault="00602D7A" w:rsidP="00736F07">
      <w:pPr>
        <w:pStyle w:val="ListParagraph"/>
        <w:numPr>
          <w:ilvl w:val="0"/>
          <w:numId w:val="4"/>
        </w:numPr>
        <w:tabs>
          <w:tab w:val="left" w:pos="927"/>
        </w:tabs>
        <w:rPr>
          <w:rFonts w:ascii="Arial" w:hAnsi="Arial" w:cs="Arial"/>
        </w:rPr>
      </w:pPr>
      <w:r w:rsidRPr="00736F07">
        <w:rPr>
          <w:rFonts w:ascii="Arial" w:hAnsi="Arial" w:cs="Arial"/>
        </w:rPr>
        <w:t xml:space="preserve">Without prejudice to the generality of sub-clause (1) and its ability to fix further charges, some other charges which have already been fixed by </w:t>
      </w:r>
      <w:r w:rsidR="00167058" w:rsidRPr="00736F07">
        <w:rPr>
          <w:rFonts w:ascii="Arial" w:hAnsi="Arial" w:cs="Arial"/>
        </w:rPr>
        <w:t>County</w:t>
      </w:r>
      <w:r w:rsidRPr="00736F07">
        <w:rPr>
          <w:rFonts w:ascii="Arial" w:hAnsi="Arial" w:cs="Arial"/>
        </w:rPr>
        <w:t xml:space="preserve"> Water are shown in Part B: Primary tariff schedule. These are charges for the reception, </w:t>
      </w:r>
      <w:proofErr w:type="gramStart"/>
      <w:r w:rsidRPr="00736F07">
        <w:rPr>
          <w:rFonts w:ascii="Arial" w:hAnsi="Arial" w:cs="Arial"/>
        </w:rPr>
        <w:t>treatment</w:t>
      </w:r>
      <w:proofErr w:type="gramEnd"/>
      <w:r w:rsidRPr="00736F07">
        <w:rPr>
          <w:rFonts w:ascii="Arial" w:hAnsi="Arial" w:cs="Arial"/>
        </w:rPr>
        <w:t xml:space="preserve"> and disposal of the contents of cesspools and septic tanks in accordance with the following provisions: </w:t>
      </w:r>
    </w:p>
    <w:p w14:paraId="05018B6F" w14:textId="77777777" w:rsidR="00736F07" w:rsidRDefault="00736F07" w:rsidP="00736F07">
      <w:pPr>
        <w:pStyle w:val="ListParagraph"/>
        <w:tabs>
          <w:tab w:val="left" w:pos="927"/>
        </w:tabs>
        <w:ind w:left="1440"/>
        <w:rPr>
          <w:rFonts w:ascii="Arial" w:hAnsi="Arial" w:cs="Arial"/>
        </w:rPr>
      </w:pPr>
    </w:p>
    <w:p w14:paraId="0E9E0E87" w14:textId="401BC92D" w:rsidR="00167058" w:rsidRPr="00736F07" w:rsidRDefault="00602D7A"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have regard to the estimated annual regional costs of the service for the relevant </w:t>
      </w:r>
      <w:proofErr w:type="gramStart"/>
      <w:r w:rsidRPr="00736F07">
        <w:rPr>
          <w:rFonts w:ascii="Arial" w:hAnsi="Arial" w:cs="Arial"/>
        </w:rPr>
        <w:t>year;</w:t>
      </w:r>
      <w:proofErr w:type="gramEnd"/>
      <w:r w:rsidRPr="00736F07">
        <w:rPr>
          <w:rFonts w:ascii="Arial" w:hAnsi="Arial" w:cs="Arial"/>
        </w:rPr>
        <w:t xml:space="preserve"> </w:t>
      </w:r>
    </w:p>
    <w:p w14:paraId="7797BFF1" w14:textId="2177CE12" w:rsidR="00167058" w:rsidRPr="00736F07" w:rsidRDefault="00602D7A" w:rsidP="00736F07">
      <w:pPr>
        <w:pStyle w:val="ListParagraph"/>
        <w:numPr>
          <w:ilvl w:val="1"/>
          <w:numId w:val="4"/>
        </w:numPr>
        <w:tabs>
          <w:tab w:val="left" w:pos="927"/>
        </w:tabs>
        <w:rPr>
          <w:rFonts w:ascii="Arial" w:hAnsi="Arial" w:cs="Arial"/>
        </w:rPr>
      </w:pPr>
      <w:r w:rsidRPr="00736F07">
        <w:rPr>
          <w:rFonts w:ascii="Arial" w:hAnsi="Arial" w:cs="Arial"/>
        </w:rPr>
        <w:t xml:space="preserve">There shall be two rates of charge based on the strength of the effluent received from the cesspools and/or septic tanks. These rates apply to those sites where the strength of effluent is monitored: </w:t>
      </w:r>
    </w:p>
    <w:p w14:paraId="0385D3D2" w14:textId="77777777" w:rsidR="00736F07" w:rsidRDefault="00736F07" w:rsidP="00736F07">
      <w:pPr>
        <w:pStyle w:val="ListParagraph"/>
        <w:tabs>
          <w:tab w:val="left" w:pos="927"/>
        </w:tabs>
        <w:rPr>
          <w:rFonts w:ascii="Arial" w:hAnsi="Arial" w:cs="Arial"/>
        </w:rPr>
      </w:pPr>
    </w:p>
    <w:p w14:paraId="31A8C9A1" w14:textId="62324E01" w:rsidR="00167058" w:rsidRPr="00736F07" w:rsidRDefault="00602D7A" w:rsidP="00736F07">
      <w:pPr>
        <w:pStyle w:val="ListParagraph"/>
        <w:numPr>
          <w:ilvl w:val="0"/>
          <w:numId w:val="6"/>
        </w:numPr>
        <w:tabs>
          <w:tab w:val="left" w:pos="927"/>
        </w:tabs>
        <w:ind w:left="1843"/>
        <w:rPr>
          <w:rFonts w:ascii="Arial" w:hAnsi="Arial" w:cs="Arial"/>
        </w:rPr>
      </w:pPr>
      <w:r w:rsidRPr="00736F07">
        <w:rPr>
          <w:rFonts w:ascii="Arial" w:hAnsi="Arial" w:cs="Arial"/>
        </w:rPr>
        <w:t xml:space="preserve">The first rate will apply to effluent with a suspended solids (SS) strength of 399 </w:t>
      </w:r>
      <w:r w:rsidR="00F11B1C" w:rsidRPr="00736F07">
        <w:rPr>
          <w:rFonts w:ascii="Arial" w:hAnsi="Arial" w:cs="Arial"/>
        </w:rPr>
        <w:t>milligrams</w:t>
      </w:r>
      <w:r w:rsidRPr="00736F07">
        <w:rPr>
          <w:rFonts w:ascii="Arial" w:hAnsi="Arial" w:cs="Arial"/>
        </w:rPr>
        <w:t xml:space="preserve"> per litre (mg/l) or </w:t>
      </w:r>
      <w:proofErr w:type="gramStart"/>
      <w:r w:rsidRPr="00736F07">
        <w:rPr>
          <w:rFonts w:ascii="Arial" w:hAnsi="Arial" w:cs="Arial"/>
        </w:rPr>
        <w:t>less;</w:t>
      </w:r>
      <w:proofErr w:type="gramEnd"/>
      <w:r w:rsidRPr="00736F07">
        <w:rPr>
          <w:rFonts w:ascii="Arial" w:hAnsi="Arial" w:cs="Arial"/>
        </w:rPr>
        <w:t xml:space="preserve"> </w:t>
      </w:r>
    </w:p>
    <w:p w14:paraId="2157CBF0" w14:textId="6C4AAF19" w:rsidR="00602D7A" w:rsidRPr="00736F07" w:rsidRDefault="00736F07" w:rsidP="00736F07">
      <w:pPr>
        <w:tabs>
          <w:tab w:val="left" w:pos="927"/>
        </w:tabs>
        <w:ind w:left="1843" w:hanging="1440"/>
        <w:rPr>
          <w:rFonts w:ascii="Arial" w:hAnsi="Arial" w:cs="Arial"/>
        </w:rPr>
      </w:pPr>
      <w:r>
        <w:rPr>
          <w:rFonts w:ascii="Arial" w:hAnsi="Arial" w:cs="Arial"/>
        </w:rPr>
        <w:tab/>
        <w:t xml:space="preserve">         </w:t>
      </w:r>
      <w:r w:rsidR="00602D7A" w:rsidRPr="00736F07">
        <w:rPr>
          <w:rFonts w:ascii="Arial" w:hAnsi="Arial" w:cs="Arial"/>
        </w:rPr>
        <w:t xml:space="preserve">(ii) </w:t>
      </w:r>
      <w:r>
        <w:rPr>
          <w:rFonts w:ascii="Arial" w:hAnsi="Arial" w:cs="Arial"/>
        </w:rPr>
        <w:tab/>
      </w:r>
      <w:r w:rsidR="00602D7A" w:rsidRPr="00736F07">
        <w:rPr>
          <w:rFonts w:ascii="Arial" w:hAnsi="Arial" w:cs="Arial"/>
        </w:rPr>
        <w:t xml:space="preserve">The second rate will apply to effluent with a SS strength of 400 mg/l and </w:t>
      </w:r>
      <w:proofErr w:type="gramStart"/>
      <w:r w:rsidR="00602D7A" w:rsidRPr="00736F07">
        <w:rPr>
          <w:rFonts w:ascii="Arial" w:hAnsi="Arial" w:cs="Arial"/>
        </w:rPr>
        <w:t>above;</w:t>
      </w:r>
      <w:proofErr w:type="gramEnd"/>
    </w:p>
    <w:p w14:paraId="063E189B" w14:textId="15E98514" w:rsidR="00736F07"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be calculated by multiplying the charge for monitored loads per cubic metre as shown in Part B: Primary tariff schedule fixed by reference to the quantity delivered to </w:t>
      </w:r>
      <w:r w:rsidR="00736F07" w:rsidRPr="00736F07">
        <w:rPr>
          <w:rFonts w:ascii="Arial" w:hAnsi="Arial" w:cs="Arial"/>
        </w:rPr>
        <w:t>County</w:t>
      </w:r>
      <w:r w:rsidRPr="00736F07">
        <w:rPr>
          <w:rFonts w:ascii="Arial" w:hAnsi="Arial" w:cs="Arial"/>
        </w:rPr>
        <w:t xml:space="preserve"> </w:t>
      </w:r>
      <w:proofErr w:type="gramStart"/>
      <w:r w:rsidRPr="00736F07">
        <w:rPr>
          <w:rFonts w:ascii="Arial" w:hAnsi="Arial" w:cs="Arial"/>
        </w:rPr>
        <w:t>Water;</w:t>
      </w:r>
      <w:proofErr w:type="gramEnd"/>
      <w:r w:rsidRPr="00736F07">
        <w:rPr>
          <w:rFonts w:ascii="Arial" w:hAnsi="Arial" w:cs="Arial"/>
        </w:rPr>
        <w:t xml:space="preserve"> </w:t>
      </w:r>
    </w:p>
    <w:p w14:paraId="3AA31546" w14:textId="77777777" w:rsidR="00736F07" w:rsidRPr="00736F07" w:rsidRDefault="00736F07" w:rsidP="00736F07">
      <w:pPr>
        <w:pStyle w:val="ListParagraph"/>
        <w:tabs>
          <w:tab w:val="left" w:pos="927"/>
        </w:tabs>
        <w:ind w:left="1440"/>
        <w:rPr>
          <w:rFonts w:ascii="Arial" w:hAnsi="Arial" w:cs="Arial"/>
        </w:rPr>
      </w:pPr>
    </w:p>
    <w:p w14:paraId="06B48D79" w14:textId="271EA722" w:rsidR="00736F07"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be payable by the person requesting the service forthwith on delivery of an account by </w:t>
      </w:r>
      <w:r w:rsidR="00736F07" w:rsidRPr="00736F07">
        <w:rPr>
          <w:rFonts w:ascii="Arial" w:hAnsi="Arial" w:cs="Arial"/>
        </w:rPr>
        <w:t>County</w:t>
      </w:r>
      <w:r w:rsidRPr="00736F07">
        <w:rPr>
          <w:rFonts w:ascii="Arial" w:hAnsi="Arial" w:cs="Arial"/>
        </w:rPr>
        <w:t xml:space="preserve"> Water to that person; and, </w:t>
      </w:r>
    </w:p>
    <w:p w14:paraId="5DFE9D44" w14:textId="77777777" w:rsidR="00736F07" w:rsidRPr="00736F07" w:rsidRDefault="00736F07" w:rsidP="00736F07">
      <w:pPr>
        <w:pStyle w:val="NoSpacing"/>
      </w:pPr>
    </w:p>
    <w:p w14:paraId="4BE31163" w14:textId="25E68F8C" w:rsidR="00167058"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rate of charge to be applied shall be determined </w:t>
      </w:r>
      <w:proofErr w:type="gramStart"/>
      <w:r w:rsidRPr="00736F07">
        <w:rPr>
          <w:rFonts w:ascii="Arial" w:hAnsi="Arial" w:cs="Arial"/>
        </w:rPr>
        <w:t>on the basis of</w:t>
      </w:r>
      <w:proofErr w:type="gramEnd"/>
      <w:r w:rsidRPr="00736F07">
        <w:rPr>
          <w:rFonts w:ascii="Arial" w:hAnsi="Arial" w:cs="Arial"/>
        </w:rPr>
        <w:t xml:space="preserve"> </w:t>
      </w:r>
      <w:r w:rsidR="00736F07" w:rsidRPr="00736F07">
        <w:rPr>
          <w:rFonts w:ascii="Arial" w:hAnsi="Arial" w:cs="Arial"/>
        </w:rPr>
        <w:t>County</w:t>
      </w:r>
      <w:r w:rsidRPr="00736F07">
        <w:rPr>
          <w:rFonts w:ascii="Arial" w:hAnsi="Arial" w:cs="Arial"/>
        </w:rPr>
        <w:t xml:space="preserve"> Water’s measurement of the strength of the effluent. However, where for any reason no such measurement is made, the rate of charge shall be calculated by multiplying the charge as shown in Part B: Primary tariff schedule fixed by reference to the quantity delivered to </w:t>
      </w:r>
      <w:r w:rsidR="00736F07" w:rsidRPr="00736F07">
        <w:rPr>
          <w:rFonts w:ascii="Arial" w:hAnsi="Arial" w:cs="Arial"/>
        </w:rPr>
        <w:t>County</w:t>
      </w:r>
      <w:r w:rsidRPr="00736F07">
        <w:rPr>
          <w:rFonts w:ascii="Arial" w:hAnsi="Arial" w:cs="Arial"/>
        </w:rPr>
        <w:t xml:space="preserve"> Water.</w:t>
      </w:r>
    </w:p>
    <w:p w14:paraId="2715C874" w14:textId="46A46755" w:rsidR="00F11B1C" w:rsidRDefault="00F11B1C" w:rsidP="00736F07">
      <w:pPr>
        <w:pStyle w:val="ListParagraph"/>
        <w:rPr>
          <w:rFonts w:ascii="Arial" w:hAnsi="Arial" w:cs="Arial"/>
        </w:rPr>
      </w:pPr>
    </w:p>
    <w:p w14:paraId="25609CC3" w14:textId="4094C9FD" w:rsidR="00736F07" w:rsidRDefault="00F11B1C" w:rsidP="00736F07">
      <w:pPr>
        <w:pStyle w:val="ListParagraph"/>
        <w:rPr>
          <w:rFonts w:ascii="Arial" w:hAnsi="Arial" w:cs="Arial"/>
        </w:rPr>
      </w:pPr>
      <w:r>
        <w:rPr>
          <w:rFonts w:ascii="Arial" w:hAnsi="Arial" w:cs="Arial"/>
          <w:b/>
          <w:noProof/>
          <w:sz w:val="24"/>
          <w:lang w:eastAsia="en-GB"/>
        </w:rPr>
        <mc:AlternateContent>
          <mc:Choice Requires="wps">
            <w:drawing>
              <wp:anchor distT="0" distB="0" distL="114300" distR="114300" simplePos="0" relativeHeight="251679744" behindDoc="0" locked="0" layoutInCell="1" allowOverlap="1" wp14:anchorId="6B75AEC5" wp14:editId="71D98373">
                <wp:simplePos x="0" y="0"/>
                <wp:positionH relativeFrom="column">
                  <wp:posOffset>-858520</wp:posOffset>
                </wp:positionH>
                <wp:positionV relativeFrom="paragraph">
                  <wp:posOffset>151461</wp:posOffset>
                </wp:positionV>
                <wp:extent cx="7418070" cy="361666"/>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A5E6434" w14:textId="29290A1A" w:rsidR="007A7A0C" w:rsidRPr="004616F3" w:rsidRDefault="007A7A0C" w:rsidP="00F11B1C">
                            <w:pPr>
                              <w:pStyle w:val="NoSpacing"/>
                              <w:rPr>
                                <w:rFonts w:ascii="Arial" w:hAnsi="Arial" w:cs="Arial"/>
                                <w:color w:val="FFFFFF" w:themeColor="background1"/>
                                <w:sz w:val="32"/>
                              </w:rPr>
                            </w:pPr>
                            <w:r>
                              <w:rPr>
                                <w:rFonts w:ascii="Arial" w:hAnsi="Arial" w:cs="Arial"/>
                                <w:color w:val="FFFFFF" w:themeColor="background1"/>
                                <w:sz w:val="32"/>
                              </w:rPr>
                              <w:t xml:space="preserve">A.1.4 Payment of charges by retailers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AEC5" id="Text Box 11" o:spid="_x0000_s1038" type="#_x0000_t202" style="position:absolute;left:0;text-align:left;margin-left:-67.6pt;margin-top:11.95pt;width:584.1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" fillcolor="#069" stroked="f" strokeweight=".5pt">
                <v:textbox>
                  <w:txbxContent>
                    <w:p w14:paraId="6A5E6434" w14:textId="29290A1A" w:rsidR="007A7A0C" w:rsidRPr="004616F3" w:rsidRDefault="007A7A0C" w:rsidP="00F11B1C">
                      <w:pPr>
                        <w:pStyle w:val="NoSpacing"/>
                        <w:rPr>
                          <w:rFonts w:ascii="Arial" w:hAnsi="Arial" w:cs="Arial"/>
                          <w:color w:val="FFFFFF" w:themeColor="background1"/>
                          <w:sz w:val="32"/>
                        </w:rPr>
                      </w:pPr>
                      <w:r>
                        <w:rPr>
                          <w:rFonts w:ascii="Arial" w:hAnsi="Arial" w:cs="Arial"/>
                          <w:color w:val="FFFFFF" w:themeColor="background1"/>
                          <w:sz w:val="32"/>
                        </w:rPr>
                        <w:t xml:space="preserve">A.1.4 Payment of charges by retailers </w:t>
                      </w:r>
                    </w:p>
                  </w:txbxContent>
                </v:textbox>
              </v:shape>
            </w:pict>
          </mc:Fallback>
        </mc:AlternateContent>
      </w:r>
    </w:p>
    <w:p w14:paraId="7D91DAAC" w14:textId="1D105FE0" w:rsidR="00F11B1C" w:rsidRDefault="00F11B1C" w:rsidP="00736F07">
      <w:pPr>
        <w:pStyle w:val="ListParagraph"/>
        <w:rPr>
          <w:rFonts w:ascii="Arial" w:hAnsi="Arial" w:cs="Arial"/>
        </w:rPr>
      </w:pPr>
    </w:p>
    <w:p w14:paraId="265C1AFF" w14:textId="446B3FDE" w:rsidR="00F11B1C" w:rsidRPr="00736F07" w:rsidRDefault="00F11B1C" w:rsidP="00736F07">
      <w:pPr>
        <w:pStyle w:val="ListParagraph"/>
        <w:rPr>
          <w:rFonts w:ascii="Arial" w:hAnsi="Arial" w:cs="Arial"/>
        </w:rPr>
      </w:pPr>
    </w:p>
    <w:p w14:paraId="6A40B024" w14:textId="77777777" w:rsidR="00F11B1C" w:rsidRDefault="00F11B1C" w:rsidP="00736F07">
      <w:pPr>
        <w:pStyle w:val="ListParagraph"/>
        <w:tabs>
          <w:tab w:val="left" w:pos="927"/>
        </w:tabs>
        <w:ind w:left="750"/>
        <w:rPr>
          <w:rFonts w:ascii="Arial" w:hAnsi="Arial" w:cs="Arial"/>
        </w:rPr>
      </w:pPr>
    </w:p>
    <w:p w14:paraId="052B91AE" w14:textId="3AFFC280" w:rsidR="00F11B1C" w:rsidRPr="00104FB5" w:rsidRDefault="00736F07" w:rsidP="00104FB5">
      <w:pPr>
        <w:tabs>
          <w:tab w:val="left" w:pos="927"/>
        </w:tabs>
        <w:rPr>
          <w:rFonts w:ascii="Arial" w:hAnsi="Arial" w:cs="Arial"/>
        </w:rPr>
      </w:pPr>
      <w:r w:rsidRPr="00C72818">
        <w:rPr>
          <w:rFonts w:ascii="Arial" w:hAnsi="Arial" w:cs="Arial"/>
        </w:rPr>
        <w:t xml:space="preserve">The charges calculated shall be due and payable in accordance with the provisions of the Wholesale Contract for Wholesale Services between </w:t>
      </w:r>
      <w:r w:rsidR="00F11B1C" w:rsidRPr="00C72818">
        <w:rPr>
          <w:rFonts w:ascii="Arial" w:hAnsi="Arial" w:cs="Arial"/>
        </w:rPr>
        <w:t>County</w:t>
      </w:r>
      <w:r w:rsidRPr="00C72818">
        <w:rPr>
          <w:rFonts w:ascii="Arial" w:hAnsi="Arial" w:cs="Arial"/>
        </w:rPr>
        <w:t xml:space="preserve"> Water and the retailer.</w:t>
      </w:r>
    </w:p>
    <w:p w14:paraId="1F67B531" w14:textId="79B2338C" w:rsidR="00F11B1C" w:rsidRDefault="00F11B1C" w:rsidP="00736F07">
      <w:pPr>
        <w:pStyle w:val="ListParagraph"/>
        <w:tabs>
          <w:tab w:val="left" w:pos="927"/>
        </w:tabs>
        <w:ind w:left="750"/>
        <w:rPr>
          <w:rFonts w:ascii="Arial" w:hAnsi="Arial" w:cs="Arial"/>
        </w:rPr>
      </w:pPr>
    </w:p>
    <w:p w14:paraId="44707D31" w14:textId="77777777" w:rsidR="00FB58A5" w:rsidRDefault="00FB58A5" w:rsidP="00736F07">
      <w:pPr>
        <w:pStyle w:val="ListParagraph"/>
        <w:tabs>
          <w:tab w:val="left" w:pos="927"/>
        </w:tabs>
        <w:ind w:left="750"/>
        <w:rPr>
          <w:rFonts w:ascii="Arial" w:hAnsi="Arial" w:cs="Arial"/>
        </w:rPr>
      </w:pPr>
    </w:p>
    <w:p w14:paraId="4140535D" w14:textId="77777777" w:rsidR="00D11814" w:rsidRDefault="00D11814" w:rsidP="004616F3">
      <w:pPr>
        <w:tabs>
          <w:tab w:val="left" w:pos="927"/>
        </w:tabs>
        <w:rPr>
          <w:rFonts w:ascii="Arial" w:hAnsi="Arial" w:cs="Arial"/>
        </w:rPr>
      </w:pPr>
    </w:p>
    <w:p w14:paraId="6583A9FC" w14:textId="796F6345" w:rsidR="00A704F7" w:rsidRDefault="005E1CDA"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83840" behindDoc="0" locked="0" layoutInCell="1" allowOverlap="1" wp14:anchorId="566F9606" wp14:editId="6E802F53">
                <wp:simplePos x="0" y="0"/>
                <wp:positionH relativeFrom="column">
                  <wp:posOffset>-858520</wp:posOffset>
                </wp:positionH>
                <wp:positionV relativeFrom="paragraph">
                  <wp:posOffset>160351</wp:posOffset>
                </wp:positionV>
                <wp:extent cx="7418070" cy="361666"/>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D80A815" w14:textId="0F730472" w:rsidR="007A7A0C" w:rsidRPr="004616F3" w:rsidRDefault="007A7A0C" w:rsidP="005E1CDA">
                            <w:pPr>
                              <w:pStyle w:val="NoSpacing"/>
                              <w:rPr>
                                <w:rFonts w:ascii="Arial" w:hAnsi="Arial" w:cs="Arial"/>
                                <w:color w:val="FFFFFF" w:themeColor="background1"/>
                                <w:sz w:val="32"/>
                              </w:rPr>
                            </w:pPr>
                            <w:r>
                              <w:rPr>
                                <w:rFonts w:ascii="Arial" w:hAnsi="Arial" w:cs="Arial"/>
                                <w:color w:val="FFFFFF" w:themeColor="background1"/>
                                <w:sz w:val="32"/>
                              </w:rPr>
                              <w:t>A.1.5 Charge variations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9606" id="Text Box 13" o:spid="_x0000_s1039" type="#_x0000_t202" style="position:absolute;margin-left:-67.6pt;margin-top:12.65pt;width:584.1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" fillcolor="#069" stroked="f" strokeweight=".5pt">
                <v:textbox>
                  <w:txbxContent>
                    <w:p w14:paraId="0D80A815" w14:textId="0F730472" w:rsidR="007A7A0C" w:rsidRPr="004616F3" w:rsidRDefault="007A7A0C" w:rsidP="005E1CDA">
                      <w:pPr>
                        <w:pStyle w:val="NoSpacing"/>
                        <w:rPr>
                          <w:rFonts w:ascii="Arial" w:hAnsi="Arial" w:cs="Arial"/>
                          <w:color w:val="FFFFFF" w:themeColor="background1"/>
                          <w:sz w:val="32"/>
                        </w:rPr>
                      </w:pPr>
                      <w:r>
                        <w:rPr>
                          <w:rFonts w:ascii="Arial" w:hAnsi="Arial" w:cs="Arial"/>
                          <w:color w:val="FFFFFF" w:themeColor="background1"/>
                          <w:sz w:val="32"/>
                        </w:rPr>
                        <w:t>A.1.5 Charge variations</w:t>
                      </w:r>
                    </w:p>
                  </w:txbxContent>
                </v:textbox>
              </v:shape>
            </w:pict>
          </mc:Fallback>
        </mc:AlternateContent>
      </w:r>
    </w:p>
    <w:p w14:paraId="4F5AEED3" w14:textId="2E774536" w:rsidR="005E1CDA" w:rsidRDefault="005E1CDA" w:rsidP="004616F3">
      <w:pPr>
        <w:tabs>
          <w:tab w:val="left" w:pos="927"/>
        </w:tabs>
        <w:rPr>
          <w:rFonts w:ascii="Arial" w:hAnsi="Arial" w:cs="Arial"/>
        </w:rPr>
      </w:pPr>
    </w:p>
    <w:p w14:paraId="59F816D9" w14:textId="77777777" w:rsidR="00104FB5" w:rsidRDefault="00104FB5" w:rsidP="004616F3">
      <w:pPr>
        <w:tabs>
          <w:tab w:val="left" w:pos="927"/>
        </w:tabs>
        <w:rPr>
          <w:rFonts w:ascii="Arial" w:hAnsi="Arial" w:cs="Arial"/>
        </w:rPr>
      </w:pPr>
    </w:p>
    <w:p w14:paraId="168C3C98" w14:textId="650A55DC" w:rsidR="00104FB5" w:rsidRDefault="005E1CDA" w:rsidP="004616F3">
      <w:pPr>
        <w:tabs>
          <w:tab w:val="left" w:pos="927"/>
        </w:tabs>
        <w:rPr>
          <w:rFonts w:ascii="Arial" w:hAnsi="Arial" w:cs="Arial"/>
        </w:rPr>
      </w:pPr>
      <w:r w:rsidRPr="005E1CDA">
        <w:rPr>
          <w:rFonts w:ascii="Arial" w:hAnsi="Arial" w:cs="Arial"/>
        </w:rPr>
        <w:t xml:space="preserve">Surface Water Rebates - in cases where the retailer has established to the satisfaction of </w:t>
      </w:r>
      <w:r w:rsidR="00104FB5">
        <w:rPr>
          <w:rFonts w:ascii="Arial" w:hAnsi="Arial" w:cs="Arial"/>
        </w:rPr>
        <w:t>County</w:t>
      </w:r>
      <w:r w:rsidRPr="005E1CDA">
        <w:rPr>
          <w:rFonts w:ascii="Arial" w:hAnsi="Arial" w:cs="Arial"/>
        </w:rPr>
        <w:t xml:space="preserve"> Water that no surface water from eligible premises drains to a public sewer, the </w:t>
      </w:r>
      <w:proofErr w:type="gramStart"/>
      <w:r w:rsidR="00336421">
        <w:rPr>
          <w:rFonts w:ascii="Arial" w:hAnsi="Arial" w:cs="Arial"/>
        </w:rPr>
        <w:t>waste water</w:t>
      </w:r>
      <w:proofErr w:type="gramEnd"/>
      <w:r w:rsidRPr="005E1CDA">
        <w:rPr>
          <w:rFonts w:ascii="Arial" w:hAnsi="Arial" w:cs="Arial"/>
        </w:rPr>
        <w:t xml:space="preserve"> charges shall be reduced by the amount shown in Part B: Primary tariff schedule. </w:t>
      </w:r>
    </w:p>
    <w:p w14:paraId="3F428D29" w14:textId="77777777" w:rsidR="00104FB5" w:rsidRDefault="00104FB5" w:rsidP="004616F3">
      <w:pPr>
        <w:tabs>
          <w:tab w:val="left" w:pos="927"/>
        </w:tabs>
        <w:rPr>
          <w:rFonts w:ascii="Arial" w:hAnsi="Arial" w:cs="Arial"/>
        </w:rPr>
      </w:pPr>
      <w:r>
        <w:rPr>
          <w:rFonts w:ascii="Arial" w:hAnsi="Arial" w:cs="Arial"/>
        </w:rPr>
        <w:t xml:space="preserve">County </w:t>
      </w:r>
      <w:r w:rsidR="005E1CDA" w:rsidRPr="005E1CDA">
        <w:rPr>
          <w:rFonts w:ascii="Arial" w:hAnsi="Arial" w:cs="Arial"/>
        </w:rPr>
        <w:t xml:space="preserve">Water does not consider it appropriate to reduce charges where some (but not all) surface water from eligible premises drains to a public sewer. If at some future date </w:t>
      </w:r>
      <w:r>
        <w:rPr>
          <w:rFonts w:ascii="Arial" w:hAnsi="Arial" w:cs="Arial"/>
        </w:rPr>
        <w:t>County</w:t>
      </w:r>
      <w:r w:rsidR="005E1CDA" w:rsidRPr="005E1CDA">
        <w:rPr>
          <w:rFonts w:ascii="Arial" w:hAnsi="Arial" w:cs="Arial"/>
        </w:rPr>
        <w:t xml:space="preserve"> Water introduces surface water drainage charging on a site areas basis, this policy will be reviewed. </w:t>
      </w:r>
    </w:p>
    <w:p w14:paraId="10119377" w14:textId="1CFD5F6D" w:rsidR="00A704F7" w:rsidRPr="005E1CDA" w:rsidRDefault="005E1CDA" w:rsidP="004616F3">
      <w:pPr>
        <w:tabs>
          <w:tab w:val="left" w:pos="927"/>
        </w:tabs>
        <w:rPr>
          <w:rFonts w:ascii="Arial" w:hAnsi="Arial" w:cs="Arial"/>
        </w:rPr>
      </w:pPr>
      <w:r w:rsidRPr="005E1CDA">
        <w:rPr>
          <w:rFonts w:ascii="Arial" w:hAnsi="Arial" w:cs="Arial"/>
        </w:rPr>
        <w:t>Any rebate will be applied from the date of a written application. No retrospective rebates will apply.</w:t>
      </w:r>
    </w:p>
    <w:p w14:paraId="4485E49D" w14:textId="5FA02417" w:rsidR="00A704F7" w:rsidRDefault="00A704F7" w:rsidP="004616F3">
      <w:pPr>
        <w:tabs>
          <w:tab w:val="left" w:pos="927"/>
        </w:tabs>
        <w:rPr>
          <w:rFonts w:ascii="Arial" w:hAnsi="Arial" w:cs="Arial"/>
        </w:rPr>
      </w:pPr>
    </w:p>
    <w:p w14:paraId="1D956405" w14:textId="072AC93E" w:rsidR="00A704F7" w:rsidRDefault="00A704F7" w:rsidP="004616F3">
      <w:pPr>
        <w:tabs>
          <w:tab w:val="left" w:pos="927"/>
        </w:tabs>
        <w:rPr>
          <w:rFonts w:ascii="Arial" w:hAnsi="Arial" w:cs="Arial"/>
        </w:rPr>
      </w:pPr>
    </w:p>
    <w:p w14:paraId="4A0CA2F5" w14:textId="5BCAF605" w:rsidR="007C5A09" w:rsidRDefault="007C5A09" w:rsidP="004616F3">
      <w:pPr>
        <w:tabs>
          <w:tab w:val="left" w:pos="927"/>
        </w:tabs>
        <w:rPr>
          <w:rFonts w:ascii="Arial" w:hAnsi="Arial" w:cs="Arial"/>
        </w:rPr>
      </w:pPr>
    </w:p>
    <w:p w14:paraId="144CF27D" w14:textId="66FF62A0" w:rsidR="00D11814" w:rsidRDefault="00D11814" w:rsidP="004616F3">
      <w:pPr>
        <w:tabs>
          <w:tab w:val="left" w:pos="927"/>
        </w:tabs>
        <w:rPr>
          <w:rFonts w:ascii="Arial" w:hAnsi="Arial" w:cs="Arial"/>
        </w:rPr>
      </w:pPr>
    </w:p>
    <w:p w14:paraId="6E777D52" w14:textId="790FB3E3" w:rsidR="00D11814" w:rsidRDefault="00D11814" w:rsidP="004616F3">
      <w:pPr>
        <w:tabs>
          <w:tab w:val="left" w:pos="927"/>
        </w:tabs>
        <w:rPr>
          <w:rFonts w:ascii="Arial" w:hAnsi="Arial" w:cs="Arial"/>
        </w:rPr>
      </w:pPr>
    </w:p>
    <w:p w14:paraId="6A750A77" w14:textId="271F72F0" w:rsidR="00D11814" w:rsidRDefault="00D11814" w:rsidP="004616F3">
      <w:pPr>
        <w:tabs>
          <w:tab w:val="left" w:pos="927"/>
        </w:tabs>
        <w:rPr>
          <w:rFonts w:ascii="Arial" w:hAnsi="Arial" w:cs="Arial"/>
        </w:rPr>
      </w:pPr>
    </w:p>
    <w:p w14:paraId="7C8936C1" w14:textId="37067496" w:rsidR="00D11814" w:rsidRDefault="00D11814" w:rsidP="004616F3">
      <w:pPr>
        <w:tabs>
          <w:tab w:val="left" w:pos="927"/>
        </w:tabs>
        <w:rPr>
          <w:rFonts w:ascii="Arial" w:hAnsi="Arial" w:cs="Arial"/>
        </w:rPr>
      </w:pPr>
    </w:p>
    <w:p w14:paraId="0DB37CAE" w14:textId="39C2DF0D" w:rsidR="00D11814" w:rsidRDefault="00D11814" w:rsidP="004616F3">
      <w:pPr>
        <w:tabs>
          <w:tab w:val="left" w:pos="927"/>
        </w:tabs>
        <w:rPr>
          <w:rFonts w:ascii="Arial" w:hAnsi="Arial" w:cs="Arial"/>
        </w:rPr>
      </w:pPr>
    </w:p>
    <w:p w14:paraId="03F3C646" w14:textId="3A0A2905" w:rsidR="00D11814" w:rsidRDefault="00D11814" w:rsidP="004616F3">
      <w:pPr>
        <w:tabs>
          <w:tab w:val="left" w:pos="927"/>
        </w:tabs>
        <w:rPr>
          <w:rFonts w:ascii="Arial" w:hAnsi="Arial" w:cs="Arial"/>
        </w:rPr>
      </w:pPr>
    </w:p>
    <w:p w14:paraId="32D48A7F" w14:textId="1ED1F046" w:rsidR="00D11814" w:rsidRDefault="00D11814" w:rsidP="004616F3">
      <w:pPr>
        <w:tabs>
          <w:tab w:val="left" w:pos="927"/>
        </w:tabs>
        <w:rPr>
          <w:rFonts w:ascii="Arial" w:hAnsi="Arial" w:cs="Arial"/>
        </w:rPr>
      </w:pPr>
    </w:p>
    <w:p w14:paraId="76FB6180" w14:textId="24D874EC" w:rsidR="00D11814" w:rsidRDefault="00D11814" w:rsidP="004616F3">
      <w:pPr>
        <w:tabs>
          <w:tab w:val="left" w:pos="927"/>
        </w:tabs>
        <w:rPr>
          <w:rFonts w:ascii="Arial" w:hAnsi="Arial" w:cs="Arial"/>
        </w:rPr>
      </w:pPr>
    </w:p>
    <w:p w14:paraId="1F0A3A4F" w14:textId="666BA17E" w:rsidR="00D11814" w:rsidRDefault="00D11814" w:rsidP="004616F3">
      <w:pPr>
        <w:tabs>
          <w:tab w:val="left" w:pos="927"/>
        </w:tabs>
        <w:rPr>
          <w:rFonts w:ascii="Arial" w:hAnsi="Arial" w:cs="Arial"/>
        </w:rPr>
      </w:pPr>
    </w:p>
    <w:p w14:paraId="4A1F52D6" w14:textId="2EB9C372" w:rsidR="00D11814" w:rsidRDefault="00D11814" w:rsidP="004616F3">
      <w:pPr>
        <w:tabs>
          <w:tab w:val="left" w:pos="927"/>
        </w:tabs>
        <w:rPr>
          <w:rFonts w:ascii="Arial" w:hAnsi="Arial" w:cs="Arial"/>
        </w:rPr>
      </w:pPr>
    </w:p>
    <w:p w14:paraId="278BAEE1" w14:textId="34C0A5A3" w:rsidR="00D11814" w:rsidRDefault="00D11814" w:rsidP="004616F3">
      <w:pPr>
        <w:tabs>
          <w:tab w:val="left" w:pos="927"/>
        </w:tabs>
        <w:rPr>
          <w:rFonts w:ascii="Arial" w:hAnsi="Arial" w:cs="Arial"/>
        </w:rPr>
      </w:pPr>
    </w:p>
    <w:p w14:paraId="5D9F2505" w14:textId="3D5C239B" w:rsidR="00D11814" w:rsidRDefault="00D11814" w:rsidP="004616F3">
      <w:pPr>
        <w:tabs>
          <w:tab w:val="left" w:pos="927"/>
        </w:tabs>
        <w:rPr>
          <w:rFonts w:ascii="Arial" w:hAnsi="Arial" w:cs="Arial"/>
        </w:rPr>
      </w:pPr>
    </w:p>
    <w:p w14:paraId="12CED5A4" w14:textId="23E6B05F" w:rsidR="00D11814" w:rsidRDefault="00D11814" w:rsidP="004616F3">
      <w:pPr>
        <w:tabs>
          <w:tab w:val="left" w:pos="927"/>
        </w:tabs>
        <w:rPr>
          <w:rFonts w:ascii="Arial" w:hAnsi="Arial" w:cs="Arial"/>
        </w:rPr>
      </w:pPr>
    </w:p>
    <w:p w14:paraId="64090467" w14:textId="48FABFBB" w:rsidR="00D11814" w:rsidRDefault="00D11814" w:rsidP="004616F3">
      <w:pPr>
        <w:tabs>
          <w:tab w:val="left" w:pos="927"/>
        </w:tabs>
        <w:rPr>
          <w:rFonts w:ascii="Arial" w:hAnsi="Arial" w:cs="Arial"/>
        </w:rPr>
      </w:pPr>
    </w:p>
    <w:p w14:paraId="569A3A61" w14:textId="75BE8615" w:rsidR="00D11814" w:rsidRDefault="00D11814" w:rsidP="004616F3">
      <w:pPr>
        <w:tabs>
          <w:tab w:val="left" w:pos="927"/>
        </w:tabs>
        <w:rPr>
          <w:rFonts w:ascii="Arial" w:hAnsi="Arial" w:cs="Arial"/>
        </w:rPr>
      </w:pPr>
    </w:p>
    <w:p w14:paraId="292AD495" w14:textId="2A7F9A0B" w:rsidR="00D11814" w:rsidRDefault="00D11814" w:rsidP="004616F3">
      <w:pPr>
        <w:tabs>
          <w:tab w:val="left" w:pos="927"/>
        </w:tabs>
        <w:rPr>
          <w:rFonts w:ascii="Arial" w:hAnsi="Arial" w:cs="Arial"/>
        </w:rPr>
      </w:pPr>
    </w:p>
    <w:p w14:paraId="7C455848" w14:textId="77777777" w:rsidR="00FB58A5" w:rsidRDefault="00FB58A5" w:rsidP="004616F3">
      <w:pPr>
        <w:tabs>
          <w:tab w:val="left" w:pos="927"/>
        </w:tabs>
        <w:rPr>
          <w:rFonts w:ascii="Arial" w:hAnsi="Arial" w:cs="Arial"/>
        </w:rPr>
      </w:pPr>
    </w:p>
    <w:p w14:paraId="4A8722E4" w14:textId="77777777" w:rsidR="00D11814" w:rsidRDefault="00D11814" w:rsidP="004616F3">
      <w:pPr>
        <w:tabs>
          <w:tab w:val="left" w:pos="927"/>
        </w:tabs>
        <w:rPr>
          <w:rFonts w:ascii="Arial" w:hAnsi="Arial" w:cs="Arial"/>
        </w:rPr>
      </w:pPr>
    </w:p>
    <w:p w14:paraId="3EB1D45B" w14:textId="1DD4EC1F" w:rsidR="00657722" w:rsidRDefault="00657722"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89984" behindDoc="0" locked="0" layoutInCell="1" allowOverlap="1" wp14:anchorId="0C73224E" wp14:editId="1CFABCB6">
                <wp:simplePos x="0" y="0"/>
                <wp:positionH relativeFrom="column">
                  <wp:posOffset>-843280</wp:posOffset>
                </wp:positionH>
                <wp:positionV relativeFrom="paragraph">
                  <wp:posOffset>-56184</wp:posOffset>
                </wp:positionV>
                <wp:extent cx="7418070" cy="361666"/>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0EFD77D" w14:textId="66C4F614"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A.1.6 Return to sewer allowance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224E" id="Text Box 16" o:spid="_x0000_s1040" type="#_x0000_t202" style="position:absolute;margin-left:-66.4pt;margin-top:-4.4pt;width:584.1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" fillcolor="#069" stroked="f" strokeweight=".5pt">
                <v:textbox>
                  <w:txbxContent>
                    <w:p w14:paraId="40EFD77D" w14:textId="66C4F614"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A.1.6 Return to sewer allowance</w:t>
                      </w:r>
                    </w:p>
                  </w:txbxContent>
                </v:textbox>
              </v:shape>
            </w:pict>
          </mc:Fallback>
        </mc:AlternateContent>
      </w:r>
    </w:p>
    <w:p w14:paraId="7ED258B2" w14:textId="77777777" w:rsidR="00316CF5" w:rsidRDefault="00316CF5" w:rsidP="00316CF5">
      <w:pPr>
        <w:pStyle w:val="NoSpacing"/>
      </w:pPr>
    </w:p>
    <w:p w14:paraId="131A350E" w14:textId="38E730DB" w:rsidR="00657722" w:rsidRDefault="00657722" w:rsidP="00316CF5">
      <w:pPr>
        <w:pStyle w:val="NoSpacing"/>
        <w:rPr>
          <w:rFonts w:ascii="Arial" w:hAnsi="Arial" w:cs="Arial"/>
        </w:rPr>
      </w:pPr>
      <w:r w:rsidRPr="00316CF5">
        <w:rPr>
          <w:rFonts w:ascii="Arial" w:hAnsi="Arial" w:cs="Arial"/>
        </w:rPr>
        <w:t>Reduction in chargeable meter size (with reference to pipe size) following acceptance of no return to sewer allowance.</w:t>
      </w:r>
    </w:p>
    <w:p w14:paraId="184A1B07" w14:textId="77777777" w:rsidR="00316CF5" w:rsidRPr="00316CF5" w:rsidRDefault="00316CF5" w:rsidP="00316CF5">
      <w:pPr>
        <w:pStyle w:val="NoSpacing"/>
        <w:rPr>
          <w:rFonts w:ascii="Arial" w:hAnsi="Arial" w:cs="Arial"/>
        </w:rPr>
      </w:pPr>
    </w:p>
    <w:tbl>
      <w:tblPr>
        <w:tblStyle w:val="TableGrid"/>
        <w:tblW w:w="10581" w:type="dxa"/>
        <w:tblInd w:w="-572" w:type="dxa"/>
        <w:tblLook w:val="04A0" w:firstRow="1" w:lastRow="0" w:firstColumn="1" w:lastColumn="0" w:noHBand="0" w:noVBand="1"/>
      </w:tblPr>
      <w:tblGrid>
        <w:gridCol w:w="2315"/>
        <w:gridCol w:w="750"/>
        <w:gridCol w:w="750"/>
        <w:gridCol w:w="751"/>
        <w:gridCol w:w="751"/>
        <w:gridCol w:w="752"/>
        <w:gridCol w:w="752"/>
        <w:gridCol w:w="752"/>
        <w:gridCol w:w="752"/>
        <w:gridCol w:w="752"/>
        <w:gridCol w:w="752"/>
        <w:gridCol w:w="752"/>
      </w:tblGrid>
      <w:tr w:rsidR="00316CF5" w14:paraId="11CC859D" w14:textId="77777777" w:rsidTr="00316CF5">
        <w:trPr>
          <w:trHeight w:val="473"/>
        </w:trPr>
        <w:tc>
          <w:tcPr>
            <w:tcW w:w="2315" w:type="dxa"/>
            <w:vMerge w:val="restart"/>
            <w:shd w:val="clear" w:color="auto" w:fill="006699"/>
            <w:vAlign w:val="center"/>
          </w:tcPr>
          <w:p w14:paraId="53EC8970" w14:textId="7E530643"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Abatement percentage</w:t>
            </w:r>
          </w:p>
        </w:tc>
        <w:tc>
          <w:tcPr>
            <w:tcW w:w="8266" w:type="dxa"/>
            <w:gridSpan w:val="11"/>
            <w:shd w:val="clear" w:color="auto" w:fill="006699"/>
            <w:vAlign w:val="center"/>
          </w:tcPr>
          <w:p w14:paraId="20CA73E3" w14:textId="59D9ADF5"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Actual meter size and chargeable meter size (with reference to pipe size) mm</w:t>
            </w:r>
          </w:p>
        </w:tc>
      </w:tr>
      <w:tr w:rsidR="00316CF5" w14:paraId="2C8F591A" w14:textId="77777777" w:rsidTr="00316CF5">
        <w:trPr>
          <w:trHeight w:val="408"/>
        </w:trPr>
        <w:tc>
          <w:tcPr>
            <w:tcW w:w="2315" w:type="dxa"/>
            <w:vMerge/>
            <w:shd w:val="clear" w:color="auto" w:fill="006699"/>
            <w:vAlign w:val="center"/>
          </w:tcPr>
          <w:p w14:paraId="621A0747" w14:textId="77777777" w:rsidR="00316CF5" w:rsidRPr="00316CF5" w:rsidRDefault="00316CF5" w:rsidP="00822BEB">
            <w:pPr>
              <w:tabs>
                <w:tab w:val="left" w:pos="927"/>
              </w:tabs>
              <w:jc w:val="center"/>
              <w:rPr>
                <w:rFonts w:ascii="Arial" w:hAnsi="Arial" w:cs="Arial"/>
                <w:b/>
                <w:color w:val="FFFFFF" w:themeColor="background1"/>
              </w:rPr>
            </w:pPr>
          </w:p>
        </w:tc>
        <w:tc>
          <w:tcPr>
            <w:tcW w:w="750" w:type="dxa"/>
            <w:shd w:val="clear" w:color="auto" w:fill="006699"/>
            <w:vAlign w:val="center"/>
          </w:tcPr>
          <w:p w14:paraId="1B960E7B" w14:textId="5AD4E507"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20</w:t>
            </w:r>
          </w:p>
        </w:tc>
        <w:tc>
          <w:tcPr>
            <w:tcW w:w="750" w:type="dxa"/>
            <w:shd w:val="clear" w:color="auto" w:fill="006699"/>
            <w:vAlign w:val="center"/>
          </w:tcPr>
          <w:p w14:paraId="66B6366F" w14:textId="5A79113C"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25</w:t>
            </w:r>
          </w:p>
        </w:tc>
        <w:tc>
          <w:tcPr>
            <w:tcW w:w="751" w:type="dxa"/>
            <w:shd w:val="clear" w:color="auto" w:fill="006699"/>
            <w:vAlign w:val="center"/>
          </w:tcPr>
          <w:p w14:paraId="7753318A" w14:textId="4A1B0D11"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30</w:t>
            </w:r>
          </w:p>
        </w:tc>
        <w:tc>
          <w:tcPr>
            <w:tcW w:w="751" w:type="dxa"/>
            <w:shd w:val="clear" w:color="auto" w:fill="006699"/>
            <w:vAlign w:val="center"/>
          </w:tcPr>
          <w:p w14:paraId="4DA06694" w14:textId="1485A3C8"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40</w:t>
            </w:r>
          </w:p>
        </w:tc>
        <w:tc>
          <w:tcPr>
            <w:tcW w:w="752" w:type="dxa"/>
            <w:shd w:val="clear" w:color="auto" w:fill="006699"/>
            <w:vAlign w:val="center"/>
          </w:tcPr>
          <w:p w14:paraId="1D8C27E4" w14:textId="34A306E7"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50</w:t>
            </w:r>
          </w:p>
        </w:tc>
        <w:tc>
          <w:tcPr>
            <w:tcW w:w="752" w:type="dxa"/>
            <w:shd w:val="clear" w:color="auto" w:fill="006699"/>
            <w:vAlign w:val="center"/>
          </w:tcPr>
          <w:p w14:paraId="24E30D6D" w14:textId="2C698439"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80</w:t>
            </w:r>
          </w:p>
        </w:tc>
        <w:tc>
          <w:tcPr>
            <w:tcW w:w="752" w:type="dxa"/>
            <w:shd w:val="clear" w:color="auto" w:fill="006699"/>
            <w:vAlign w:val="center"/>
          </w:tcPr>
          <w:p w14:paraId="3586DFE5" w14:textId="6BB3498C"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100</w:t>
            </w:r>
          </w:p>
        </w:tc>
        <w:tc>
          <w:tcPr>
            <w:tcW w:w="752" w:type="dxa"/>
            <w:shd w:val="clear" w:color="auto" w:fill="006699"/>
            <w:vAlign w:val="center"/>
          </w:tcPr>
          <w:p w14:paraId="1248311B" w14:textId="41E34A20"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125</w:t>
            </w:r>
          </w:p>
        </w:tc>
        <w:tc>
          <w:tcPr>
            <w:tcW w:w="752" w:type="dxa"/>
            <w:shd w:val="clear" w:color="auto" w:fill="006699"/>
            <w:vAlign w:val="center"/>
          </w:tcPr>
          <w:p w14:paraId="76909546" w14:textId="7F51AAC3"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150</w:t>
            </w:r>
          </w:p>
        </w:tc>
        <w:tc>
          <w:tcPr>
            <w:tcW w:w="752" w:type="dxa"/>
            <w:shd w:val="clear" w:color="auto" w:fill="006699"/>
            <w:vAlign w:val="center"/>
          </w:tcPr>
          <w:p w14:paraId="23BB8EAD" w14:textId="2CC442A2"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200</w:t>
            </w:r>
          </w:p>
        </w:tc>
        <w:tc>
          <w:tcPr>
            <w:tcW w:w="752" w:type="dxa"/>
            <w:shd w:val="clear" w:color="auto" w:fill="006699"/>
            <w:vAlign w:val="center"/>
          </w:tcPr>
          <w:p w14:paraId="6D5D3A38" w14:textId="1DC72222"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250</w:t>
            </w:r>
          </w:p>
        </w:tc>
      </w:tr>
      <w:tr w:rsidR="00822BEB" w14:paraId="0D88FED8" w14:textId="7482106C" w:rsidTr="00316CF5">
        <w:trPr>
          <w:trHeight w:val="567"/>
        </w:trPr>
        <w:tc>
          <w:tcPr>
            <w:tcW w:w="2315" w:type="dxa"/>
            <w:shd w:val="clear" w:color="auto" w:fill="006699"/>
            <w:vAlign w:val="center"/>
          </w:tcPr>
          <w:p w14:paraId="19F55E3D" w14:textId="3C55112A"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10% to 30%</w:t>
            </w:r>
          </w:p>
        </w:tc>
        <w:tc>
          <w:tcPr>
            <w:tcW w:w="750" w:type="dxa"/>
            <w:vAlign w:val="center"/>
          </w:tcPr>
          <w:p w14:paraId="3DDF7F9F" w14:textId="5C7D568B"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752CFA69" w14:textId="480D6588"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598F8D72" w14:textId="39139B20" w:rsidR="00822BEB" w:rsidRDefault="00316CF5" w:rsidP="00822BEB">
            <w:pPr>
              <w:tabs>
                <w:tab w:val="left" w:pos="927"/>
              </w:tabs>
              <w:jc w:val="center"/>
              <w:rPr>
                <w:rFonts w:ascii="Arial" w:hAnsi="Arial" w:cs="Arial"/>
              </w:rPr>
            </w:pPr>
            <w:r>
              <w:rPr>
                <w:rFonts w:ascii="Arial" w:hAnsi="Arial" w:cs="Arial"/>
              </w:rPr>
              <w:t>30</w:t>
            </w:r>
          </w:p>
        </w:tc>
        <w:tc>
          <w:tcPr>
            <w:tcW w:w="751" w:type="dxa"/>
            <w:vAlign w:val="center"/>
          </w:tcPr>
          <w:p w14:paraId="73323FA1" w14:textId="7B49E863"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69BFEEEF" w14:textId="08468BC6"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33E32F3" w14:textId="0B247E6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4354BE1" w14:textId="4863844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BACA1AE" w14:textId="277B0703"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78C33763" w14:textId="53E0AFB0"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7430C1D5" w14:textId="5F44F5C6"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3CBCE763" w14:textId="726F64BB" w:rsidR="00822BEB" w:rsidRDefault="00316CF5" w:rsidP="00822BEB">
            <w:pPr>
              <w:tabs>
                <w:tab w:val="left" w:pos="927"/>
              </w:tabs>
              <w:jc w:val="center"/>
              <w:rPr>
                <w:rFonts w:ascii="Arial" w:hAnsi="Arial" w:cs="Arial"/>
              </w:rPr>
            </w:pPr>
            <w:r>
              <w:rPr>
                <w:rFonts w:ascii="Arial" w:hAnsi="Arial" w:cs="Arial"/>
              </w:rPr>
              <w:t>250</w:t>
            </w:r>
          </w:p>
        </w:tc>
      </w:tr>
      <w:tr w:rsidR="00822BEB" w14:paraId="74EB291E" w14:textId="77777777" w:rsidTr="00316CF5">
        <w:trPr>
          <w:trHeight w:val="567"/>
        </w:trPr>
        <w:tc>
          <w:tcPr>
            <w:tcW w:w="2315" w:type="dxa"/>
            <w:shd w:val="clear" w:color="auto" w:fill="006699"/>
            <w:vAlign w:val="center"/>
          </w:tcPr>
          <w:p w14:paraId="595291B2" w14:textId="041AF5CE"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31% to 35%</w:t>
            </w:r>
          </w:p>
        </w:tc>
        <w:tc>
          <w:tcPr>
            <w:tcW w:w="750" w:type="dxa"/>
            <w:vAlign w:val="center"/>
          </w:tcPr>
          <w:p w14:paraId="4FAC347A" w14:textId="2F8BD172"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1C660BDB" w14:textId="63B838F5"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11E19ABE" w14:textId="6CDAF484" w:rsidR="00822BEB" w:rsidRDefault="00316CF5" w:rsidP="00822BEB">
            <w:pPr>
              <w:tabs>
                <w:tab w:val="left" w:pos="927"/>
              </w:tabs>
              <w:jc w:val="center"/>
              <w:rPr>
                <w:rFonts w:ascii="Arial" w:hAnsi="Arial" w:cs="Arial"/>
              </w:rPr>
            </w:pPr>
            <w:r>
              <w:rPr>
                <w:rFonts w:ascii="Arial" w:hAnsi="Arial" w:cs="Arial"/>
              </w:rPr>
              <w:t>30</w:t>
            </w:r>
          </w:p>
        </w:tc>
        <w:tc>
          <w:tcPr>
            <w:tcW w:w="751" w:type="dxa"/>
            <w:vAlign w:val="center"/>
          </w:tcPr>
          <w:p w14:paraId="16FA17C2" w14:textId="7D9C4D91"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136E31D0" w14:textId="1760E03F"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579C538" w14:textId="3F29903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B8FA1DA" w14:textId="2385608D"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4040FDFD" w14:textId="110590DB"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185CABED" w14:textId="6133EEFF"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363C74D8" w14:textId="098B04F0"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485B62D4" w14:textId="39A74EA0" w:rsidR="00822BEB" w:rsidRDefault="00316CF5" w:rsidP="00822BEB">
            <w:pPr>
              <w:tabs>
                <w:tab w:val="left" w:pos="927"/>
              </w:tabs>
              <w:jc w:val="center"/>
              <w:rPr>
                <w:rFonts w:ascii="Arial" w:hAnsi="Arial" w:cs="Arial"/>
              </w:rPr>
            </w:pPr>
            <w:r>
              <w:rPr>
                <w:rFonts w:ascii="Arial" w:hAnsi="Arial" w:cs="Arial"/>
              </w:rPr>
              <w:t>250</w:t>
            </w:r>
          </w:p>
        </w:tc>
      </w:tr>
      <w:tr w:rsidR="00822BEB" w14:paraId="40A2C0C2" w14:textId="77777777" w:rsidTr="00316CF5">
        <w:trPr>
          <w:trHeight w:val="567"/>
        </w:trPr>
        <w:tc>
          <w:tcPr>
            <w:tcW w:w="2315" w:type="dxa"/>
            <w:shd w:val="clear" w:color="auto" w:fill="006699"/>
            <w:vAlign w:val="center"/>
          </w:tcPr>
          <w:p w14:paraId="7E5A9122" w14:textId="032069C7"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36% to 43%</w:t>
            </w:r>
          </w:p>
        </w:tc>
        <w:tc>
          <w:tcPr>
            <w:tcW w:w="750" w:type="dxa"/>
            <w:vAlign w:val="center"/>
          </w:tcPr>
          <w:p w14:paraId="737EC81A" w14:textId="6721F991"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61CF7CDD" w14:textId="7334848E"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6FF60805" w14:textId="4171365F"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4C9E8A92" w14:textId="38B1E0FB"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7936EC76" w14:textId="70D0AA71"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4B1A5A83" w14:textId="5DD07C0C"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D0F1FF1" w14:textId="44285247"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8493DE9" w14:textId="4DBD4DD1"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CD8F9ED" w14:textId="1D15558B"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7AF8AA3F" w14:textId="39C801AF"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30A83916" w14:textId="0A846A8B" w:rsidR="00822BEB" w:rsidRDefault="00316CF5" w:rsidP="00822BEB">
            <w:pPr>
              <w:tabs>
                <w:tab w:val="left" w:pos="927"/>
              </w:tabs>
              <w:jc w:val="center"/>
              <w:rPr>
                <w:rFonts w:ascii="Arial" w:hAnsi="Arial" w:cs="Arial"/>
              </w:rPr>
            </w:pPr>
            <w:r>
              <w:rPr>
                <w:rFonts w:ascii="Arial" w:hAnsi="Arial" w:cs="Arial"/>
              </w:rPr>
              <w:t>200</w:t>
            </w:r>
          </w:p>
        </w:tc>
      </w:tr>
      <w:tr w:rsidR="00822BEB" w14:paraId="5C6E6CE2" w14:textId="77777777" w:rsidTr="00316CF5">
        <w:trPr>
          <w:trHeight w:val="567"/>
        </w:trPr>
        <w:tc>
          <w:tcPr>
            <w:tcW w:w="2315" w:type="dxa"/>
            <w:shd w:val="clear" w:color="auto" w:fill="006699"/>
            <w:vAlign w:val="center"/>
          </w:tcPr>
          <w:p w14:paraId="3EC99C0E" w14:textId="380E7E10"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44% to 55%</w:t>
            </w:r>
          </w:p>
        </w:tc>
        <w:tc>
          <w:tcPr>
            <w:tcW w:w="750" w:type="dxa"/>
            <w:vAlign w:val="center"/>
          </w:tcPr>
          <w:p w14:paraId="5774AD29" w14:textId="08AC5DC4"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3223E333" w14:textId="29E021FB"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25CFE52F" w14:textId="70A64FE5"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339804C1" w14:textId="2B25A071"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69FB414B" w14:textId="63E617D7"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6704CAA3" w14:textId="265F878F"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DDEBABD" w14:textId="68853E39"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4AEB13D" w14:textId="10D93E15"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CD23D10" w14:textId="61ECCD59"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087D68BB" w14:textId="284B89C9"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4E278036" w14:textId="6ADAC488" w:rsidR="00822BEB" w:rsidRDefault="00316CF5" w:rsidP="00822BEB">
            <w:pPr>
              <w:tabs>
                <w:tab w:val="left" w:pos="927"/>
              </w:tabs>
              <w:jc w:val="center"/>
              <w:rPr>
                <w:rFonts w:ascii="Arial" w:hAnsi="Arial" w:cs="Arial"/>
              </w:rPr>
            </w:pPr>
            <w:r>
              <w:rPr>
                <w:rFonts w:ascii="Arial" w:hAnsi="Arial" w:cs="Arial"/>
              </w:rPr>
              <w:t>200</w:t>
            </w:r>
          </w:p>
        </w:tc>
      </w:tr>
      <w:tr w:rsidR="00822BEB" w14:paraId="58BD5572" w14:textId="77777777" w:rsidTr="00316CF5">
        <w:trPr>
          <w:trHeight w:val="567"/>
        </w:trPr>
        <w:tc>
          <w:tcPr>
            <w:tcW w:w="2315" w:type="dxa"/>
            <w:shd w:val="clear" w:color="auto" w:fill="006699"/>
            <w:vAlign w:val="center"/>
          </w:tcPr>
          <w:p w14:paraId="15E2D760" w14:textId="32EA28E9"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56% to 60%</w:t>
            </w:r>
          </w:p>
        </w:tc>
        <w:tc>
          <w:tcPr>
            <w:tcW w:w="750" w:type="dxa"/>
            <w:vAlign w:val="center"/>
          </w:tcPr>
          <w:p w14:paraId="3A6D2DD4" w14:textId="0D172AF6"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9840173" w14:textId="0D256CA3"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28384DAE" w14:textId="03844CD4"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1308C8D5" w14:textId="35B44739"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530D44D5" w14:textId="5B3FD952"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3F1674B9" w14:textId="62979311"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B88B2C6" w14:textId="37A0552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63F4068" w14:textId="6A27B58C"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63968D87" w14:textId="106393ED"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21C05347" w14:textId="25AB9412"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6A479F76" w14:textId="5659CACC" w:rsidR="00822BEB" w:rsidRDefault="00316CF5" w:rsidP="00822BEB">
            <w:pPr>
              <w:tabs>
                <w:tab w:val="left" w:pos="927"/>
              </w:tabs>
              <w:jc w:val="center"/>
              <w:rPr>
                <w:rFonts w:ascii="Arial" w:hAnsi="Arial" w:cs="Arial"/>
              </w:rPr>
            </w:pPr>
            <w:r>
              <w:rPr>
                <w:rFonts w:ascii="Arial" w:hAnsi="Arial" w:cs="Arial"/>
              </w:rPr>
              <w:t>200</w:t>
            </w:r>
          </w:p>
        </w:tc>
      </w:tr>
      <w:tr w:rsidR="00822BEB" w14:paraId="138BEB6A" w14:textId="77777777" w:rsidTr="00316CF5">
        <w:trPr>
          <w:trHeight w:val="567"/>
        </w:trPr>
        <w:tc>
          <w:tcPr>
            <w:tcW w:w="2315" w:type="dxa"/>
            <w:shd w:val="clear" w:color="auto" w:fill="006699"/>
            <w:vAlign w:val="center"/>
          </w:tcPr>
          <w:p w14:paraId="7283DF9C" w14:textId="7B9A6323"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61% to 63%</w:t>
            </w:r>
          </w:p>
        </w:tc>
        <w:tc>
          <w:tcPr>
            <w:tcW w:w="750" w:type="dxa"/>
            <w:vAlign w:val="center"/>
          </w:tcPr>
          <w:p w14:paraId="482664C6" w14:textId="3A71BE51"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3F4D893" w14:textId="4863ECD5"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63252E4E" w14:textId="4CCBCF99"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246E5B4D" w14:textId="79EF44E1"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38B16134" w14:textId="07EDF3AE"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7EAE5A1" w14:textId="6B777AA5"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9780DE1" w14:textId="294A26F9"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6DB95A03" w14:textId="473C9B7C"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7ABF06CB" w14:textId="13C3178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D74948F" w14:textId="7E202272"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4C73DA56" w14:textId="555E5BB3" w:rsidR="00822BEB" w:rsidRDefault="00316CF5" w:rsidP="00822BEB">
            <w:pPr>
              <w:tabs>
                <w:tab w:val="left" w:pos="927"/>
              </w:tabs>
              <w:jc w:val="center"/>
              <w:rPr>
                <w:rFonts w:ascii="Arial" w:hAnsi="Arial" w:cs="Arial"/>
              </w:rPr>
            </w:pPr>
            <w:r>
              <w:rPr>
                <w:rFonts w:ascii="Arial" w:hAnsi="Arial" w:cs="Arial"/>
              </w:rPr>
              <w:t>200</w:t>
            </w:r>
          </w:p>
        </w:tc>
      </w:tr>
      <w:tr w:rsidR="00822BEB" w14:paraId="1166E378" w14:textId="77777777" w:rsidTr="00316CF5">
        <w:trPr>
          <w:trHeight w:val="567"/>
        </w:trPr>
        <w:tc>
          <w:tcPr>
            <w:tcW w:w="2315" w:type="dxa"/>
            <w:shd w:val="clear" w:color="auto" w:fill="006699"/>
            <w:vAlign w:val="center"/>
          </w:tcPr>
          <w:p w14:paraId="79D2F0A2" w14:textId="0DB60A88"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64% to 74%</w:t>
            </w:r>
          </w:p>
        </w:tc>
        <w:tc>
          <w:tcPr>
            <w:tcW w:w="750" w:type="dxa"/>
            <w:vAlign w:val="center"/>
          </w:tcPr>
          <w:p w14:paraId="2C6680B9" w14:textId="7449A3F4"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7364F512" w14:textId="1B892B54"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031AB8C4" w14:textId="2D6AC148"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332EE92E" w14:textId="6C191604"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29B46979" w14:textId="3F25032A"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93F16AF" w14:textId="6A2B9AE2"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455F53D" w14:textId="631AF0D8"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0AE11CF" w14:textId="0FA38B0B"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0EDF436" w14:textId="0B2D1F75"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33BE966F" w14:textId="7D4EEF78"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319DE4FF" w14:textId="6CAD9C72" w:rsidR="00822BEB" w:rsidRDefault="00316CF5" w:rsidP="00822BEB">
            <w:pPr>
              <w:tabs>
                <w:tab w:val="left" w:pos="927"/>
              </w:tabs>
              <w:jc w:val="center"/>
              <w:rPr>
                <w:rFonts w:ascii="Arial" w:hAnsi="Arial" w:cs="Arial"/>
              </w:rPr>
            </w:pPr>
            <w:r>
              <w:rPr>
                <w:rFonts w:ascii="Arial" w:hAnsi="Arial" w:cs="Arial"/>
              </w:rPr>
              <w:t>150</w:t>
            </w:r>
          </w:p>
        </w:tc>
      </w:tr>
      <w:tr w:rsidR="00822BEB" w14:paraId="68DB8239" w14:textId="77777777" w:rsidTr="00316CF5">
        <w:trPr>
          <w:trHeight w:val="567"/>
        </w:trPr>
        <w:tc>
          <w:tcPr>
            <w:tcW w:w="2315" w:type="dxa"/>
            <w:shd w:val="clear" w:color="auto" w:fill="006699"/>
            <w:vAlign w:val="center"/>
          </w:tcPr>
          <w:p w14:paraId="33311FBD" w14:textId="1622D999"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75% to 82%</w:t>
            </w:r>
          </w:p>
        </w:tc>
        <w:tc>
          <w:tcPr>
            <w:tcW w:w="750" w:type="dxa"/>
            <w:vAlign w:val="center"/>
          </w:tcPr>
          <w:p w14:paraId="7E9B6D23" w14:textId="4D86C05B"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2BB6C73F" w14:textId="7E3024CC"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1E0690EF" w14:textId="6DF5E5D7"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7CF2DA84" w14:textId="6BD26F3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0BB5F4EA" w14:textId="0773955F"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5E816B54" w14:textId="4C1CD841"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25FF69CE" w14:textId="05D184AD"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28ADA14" w14:textId="6DB3DE65"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3DD0DBA" w14:textId="2D1D72C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26477F4" w14:textId="6FCCA73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235AAE40" w14:textId="7D2DE6E6" w:rsidR="00822BEB" w:rsidRDefault="00316CF5" w:rsidP="00822BEB">
            <w:pPr>
              <w:tabs>
                <w:tab w:val="left" w:pos="927"/>
              </w:tabs>
              <w:jc w:val="center"/>
              <w:rPr>
                <w:rFonts w:ascii="Arial" w:hAnsi="Arial" w:cs="Arial"/>
              </w:rPr>
            </w:pPr>
            <w:r>
              <w:rPr>
                <w:rFonts w:ascii="Arial" w:hAnsi="Arial" w:cs="Arial"/>
              </w:rPr>
              <w:t>125</w:t>
            </w:r>
          </w:p>
        </w:tc>
      </w:tr>
      <w:tr w:rsidR="00822BEB" w14:paraId="64F1B915" w14:textId="77777777" w:rsidTr="00316CF5">
        <w:trPr>
          <w:trHeight w:val="567"/>
        </w:trPr>
        <w:tc>
          <w:tcPr>
            <w:tcW w:w="2315" w:type="dxa"/>
            <w:shd w:val="clear" w:color="auto" w:fill="006699"/>
            <w:vAlign w:val="center"/>
          </w:tcPr>
          <w:p w14:paraId="23E09C93" w14:textId="19F9D641"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83%</w:t>
            </w:r>
          </w:p>
        </w:tc>
        <w:tc>
          <w:tcPr>
            <w:tcW w:w="750" w:type="dxa"/>
            <w:vAlign w:val="center"/>
          </w:tcPr>
          <w:p w14:paraId="7AE37722" w14:textId="49E757E2"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35E5B5A" w14:textId="24F55BF1"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5E332E2" w14:textId="4A0A8E0C"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0823E1DF" w14:textId="7E661CF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639CCC5A" w14:textId="56F17B11"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11587636" w14:textId="0B5CD32B"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9BB9D1C" w14:textId="2AA43BD0"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7D86E414" w14:textId="41DDE1A7"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AE8DA36" w14:textId="7E9D3D1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120828B4" w14:textId="37AB6E68"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E0E481F" w14:textId="193195B1" w:rsidR="00822BEB" w:rsidRDefault="00316CF5" w:rsidP="00822BEB">
            <w:pPr>
              <w:tabs>
                <w:tab w:val="left" w:pos="927"/>
              </w:tabs>
              <w:jc w:val="center"/>
              <w:rPr>
                <w:rFonts w:ascii="Arial" w:hAnsi="Arial" w:cs="Arial"/>
              </w:rPr>
            </w:pPr>
            <w:r>
              <w:rPr>
                <w:rFonts w:ascii="Arial" w:hAnsi="Arial" w:cs="Arial"/>
              </w:rPr>
              <w:t>125</w:t>
            </w:r>
          </w:p>
        </w:tc>
      </w:tr>
      <w:tr w:rsidR="00822BEB" w14:paraId="0D4E43E3" w14:textId="77777777" w:rsidTr="00316CF5">
        <w:trPr>
          <w:trHeight w:val="567"/>
        </w:trPr>
        <w:tc>
          <w:tcPr>
            <w:tcW w:w="2315" w:type="dxa"/>
            <w:shd w:val="clear" w:color="auto" w:fill="006699"/>
            <w:vAlign w:val="center"/>
          </w:tcPr>
          <w:p w14:paraId="28564315" w14:textId="2B0432DF"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84%</w:t>
            </w:r>
          </w:p>
        </w:tc>
        <w:tc>
          <w:tcPr>
            <w:tcW w:w="750" w:type="dxa"/>
            <w:vAlign w:val="center"/>
          </w:tcPr>
          <w:p w14:paraId="1058380D" w14:textId="5D083C57"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236AFFC6" w14:textId="310E4229"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AE3197B" w14:textId="0C58AE58"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555799F" w14:textId="454B733C"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4B279EDB" w14:textId="1A61B689"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4A060615" w14:textId="0962532A"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64243B41" w14:textId="272BD8BA"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D020E78" w14:textId="4973BB26"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32F1F3FA" w14:textId="528AE7F5"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7298442" w14:textId="518958AA"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EC3818F" w14:textId="0184A3E9" w:rsidR="00822BEB" w:rsidRDefault="00316CF5" w:rsidP="00822BEB">
            <w:pPr>
              <w:tabs>
                <w:tab w:val="left" w:pos="927"/>
              </w:tabs>
              <w:jc w:val="center"/>
              <w:rPr>
                <w:rFonts w:ascii="Arial" w:hAnsi="Arial" w:cs="Arial"/>
              </w:rPr>
            </w:pPr>
            <w:r>
              <w:rPr>
                <w:rFonts w:ascii="Arial" w:hAnsi="Arial" w:cs="Arial"/>
              </w:rPr>
              <w:t>100</w:t>
            </w:r>
          </w:p>
        </w:tc>
      </w:tr>
      <w:tr w:rsidR="00822BEB" w14:paraId="7787EAEE" w14:textId="77777777" w:rsidTr="00316CF5">
        <w:trPr>
          <w:trHeight w:val="567"/>
        </w:trPr>
        <w:tc>
          <w:tcPr>
            <w:tcW w:w="2315" w:type="dxa"/>
            <w:shd w:val="clear" w:color="auto" w:fill="006699"/>
            <w:vAlign w:val="center"/>
          </w:tcPr>
          <w:p w14:paraId="0E8F1563" w14:textId="4F12C498"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85%</w:t>
            </w:r>
          </w:p>
        </w:tc>
        <w:tc>
          <w:tcPr>
            <w:tcW w:w="750" w:type="dxa"/>
            <w:vAlign w:val="center"/>
          </w:tcPr>
          <w:p w14:paraId="22343A1A" w14:textId="4655A30F"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48A5C7B1" w14:textId="3A2377FB"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1AEABFBF" w14:textId="18477BC7"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3ACAD230" w14:textId="63F2FF1E"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11EE4013" w14:textId="25C9C55E"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7C1CDB10" w14:textId="0CD163EF"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7A0CDD8F" w14:textId="35B3A948"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A9CB4C1" w14:textId="55A2A06B"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48CF290E" w14:textId="6AB7152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E66C8DD" w14:textId="6C98DFB0"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834AAC3" w14:textId="10F40057" w:rsidR="00822BEB" w:rsidRDefault="00316CF5" w:rsidP="00822BEB">
            <w:pPr>
              <w:tabs>
                <w:tab w:val="left" w:pos="927"/>
              </w:tabs>
              <w:jc w:val="center"/>
              <w:rPr>
                <w:rFonts w:ascii="Arial" w:hAnsi="Arial" w:cs="Arial"/>
              </w:rPr>
            </w:pPr>
            <w:r>
              <w:rPr>
                <w:rFonts w:ascii="Arial" w:hAnsi="Arial" w:cs="Arial"/>
              </w:rPr>
              <w:t>100</w:t>
            </w:r>
          </w:p>
        </w:tc>
      </w:tr>
      <w:tr w:rsidR="00822BEB" w14:paraId="79E4B0BE" w14:textId="77777777" w:rsidTr="00316CF5">
        <w:trPr>
          <w:trHeight w:val="567"/>
        </w:trPr>
        <w:tc>
          <w:tcPr>
            <w:tcW w:w="2315" w:type="dxa"/>
            <w:shd w:val="clear" w:color="auto" w:fill="006699"/>
            <w:vAlign w:val="center"/>
          </w:tcPr>
          <w:p w14:paraId="344CA279" w14:textId="4A6E87ED"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86% to 88%</w:t>
            </w:r>
          </w:p>
        </w:tc>
        <w:tc>
          <w:tcPr>
            <w:tcW w:w="750" w:type="dxa"/>
            <w:vAlign w:val="center"/>
          </w:tcPr>
          <w:p w14:paraId="7B01D917" w14:textId="3767F32F"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10F23F18" w14:textId="6F639767"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386B3963" w14:textId="51D3452E"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04855140" w14:textId="14AFF640"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098AC644" w14:textId="71F559E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2BE4D328" w14:textId="76704637"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4855EB5" w14:textId="1551C425"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0B8EE993" w14:textId="7E4A2343"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4A35923" w14:textId="5E5C4B0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99F580E" w14:textId="097018EA"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101B760" w14:textId="7AE6EFD3" w:rsidR="00822BEB" w:rsidRDefault="00316CF5" w:rsidP="00822BEB">
            <w:pPr>
              <w:tabs>
                <w:tab w:val="left" w:pos="927"/>
              </w:tabs>
              <w:jc w:val="center"/>
              <w:rPr>
                <w:rFonts w:ascii="Arial" w:hAnsi="Arial" w:cs="Arial"/>
              </w:rPr>
            </w:pPr>
            <w:r>
              <w:rPr>
                <w:rFonts w:ascii="Arial" w:hAnsi="Arial" w:cs="Arial"/>
              </w:rPr>
              <w:t>100</w:t>
            </w:r>
          </w:p>
        </w:tc>
      </w:tr>
      <w:tr w:rsidR="00822BEB" w14:paraId="6216EC8E" w14:textId="77777777" w:rsidTr="00316CF5">
        <w:trPr>
          <w:trHeight w:val="567"/>
        </w:trPr>
        <w:tc>
          <w:tcPr>
            <w:tcW w:w="2315" w:type="dxa"/>
            <w:shd w:val="clear" w:color="auto" w:fill="006699"/>
            <w:vAlign w:val="center"/>
          </w:tcPr>
          <w:p w14:paraId="555D652E" w14:textId="0AE14C2A"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 xml:space="preserve">89% </w:t>
            </w:r>
            <w:r w:rsidR="00316CF5" w:rsidRPr="00316CF5">
              <w:rPr>
                <w:rFonts w:ascii="Arial" w:hAnsi="Arial" w:cs="Arial"/>
                <w:b/>
                <w:color w:val="FFFFFF" w:themeColor="background1"/>
              </w:rPr>
              <w:t>&amp;</w:t>
            </w:r>
            <w:r w:rsidRPr="00316CF5">
              <w:rPr>
                <w:rFonts w:ascii="Arial" w:hAnsi="Arial" w:cs="Arial"/>
                <w:b/>
                <w:color w:val="FFFFFF" w:themeColor="background1"/>
              </w:rPr>
              <w:t xml:space="preserve"> 90%</w:t>
            </w:r>
          </w:p>
        </w:tc>
        <w:tc>
          <w:tcPr>
            <w:tcW w:w="750" w:type="dxa"/>
            <w:vAlign w:val="center"/>
          </w:tcPr>
          <w:p w14:paraId="7AFF6ECC" w14:textId="557D4789"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344A8730" w14:textId="7F331CB2"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A3118AD" w14:textId="5A6B344A"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88C6F54" w14:textId="711BA297"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E97B21E" w14:textId="52F3AE7A"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C99297A" w14:textId="6EB69462"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AD8FB79" w14:textId="33CCE347"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313415BE" w14:textId="3A57CC0B"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3632EA1F" w14:textId="6A23FA6E"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5A4C87C5" w14:textId="3EFD0A35" w:rsidR="00822BEB" w:rsidRDefault="008B6819" w:rsidP="00822BEB">
            <w:pPr>
              <w:tabs>
                <w:tab w:val="left" w:pos="927"/>
              </w:tabs>
              <w:jc w:val="center"/>
              <w:rPr>
                <w:rFonts w:ascii="Arial" w:hAnsi="Arial" w:cs="Arial"/>
              </w:rPr>
            </w:pPr>
            <w:r>
              <w:rPr>
                <w:rFonts w:ascii="Arial" w:hAnsi="Arial" w:cs="Arial"/>
              </w:rPr>
              <w:t>80</w:t>
            </w:r>
          </w:p>
        </w:tc>
        <w:tc>
          <w:tcPr>
            <w:tcW w:w="752" w:type="dxa"/>
            <w:vAlign w:val="center"/>
          </w:tcPr>
          <w:p w14:paraId="4501689B" w14:textId="1E2262C8" w:rsidR="00822BEB" w:rsidRDefault="008B6819" w:rsidP="00822BEB">
            <w:pPr>
              <w:tabs>
                <w:tab w:val="left" w:pos="927"/>
              </w:tabs>
              <w:jc w:val="center"/>
              <w:rPr>
                <w:rFonts w:ascii="Arial" w:hAnsi="Arial" w:cs="Arial"/>
              </w:rPr>
            </w:pPr>
            <w:r>
              <w:rPr>
                <w:rFonts w:ascii="Arial" w:hAnsi="Arial" w:cs="Arial"/>
              </w:rPr>
              <w:t>100</w:t>
            </w:r>
          </w:p>
        </w:tc>
      </w:tr>
      <w:tr w:rsidR="00822BEB" w14:paraId="41265ED5" w14:textId="77777777" w:rsidTr="00316CF5">
        <w:trPr>
          <w:trHeight w:val="567"/>
        </w:trPr>
        <w:tc>
          <w:tcPr>
            <w:tcW w:w="2315" w:type="dxa"/>
            <w:shd w:val="clear" w:color="auto" w:fill="006699"/>
            <w:vAlign w:val="center"/>
          </w:tcPr>
          <w:p w14:paraId="247DF328" w14:textId="01B54DDB" w:rsidR="00822BEB" w:rsidRPr="00316CF5" w:rsidRDefault="00A8543E"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91%</w:t>
            </w:r>
            <w:r w:rsidR="00316CF5" w:rsidRPr="00316CF5">
              <w:rPr>
                <w:rFonts w:ascii="Arial" w:hAnsi="Arial" w:cs="Arial"/>
                <w:b/>
                <w:color w:val="FFFFFF" w:themeColor="background1"/>
              </w:rPr>
              <w:t xml:space="preserve"> to 93%</w:t>
            </w:r>
          </w:p>
        </w:tc>
        <w:tc>
          <w:tcPr>
            <w:tcW w:w="750" w:type="dxa"/>
            <w:vAlign w:val="center"/>
          </w:tcPr>
          <w:p w14:paraId="0EE60AC5" w14:textId="7D869D91"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2A37D4C0" w14:textId="2EC0C5FE"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AE99188" w14:textId="09326616"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D80E8B2" w14:textId="592C94CE"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456BC9C8" w14:textId="536B6A3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5328E4AF" w14:textId="4E5D25AC"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62D9DE0C" w14:textId="1882C3C7"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5B284F58" w14:textId="113BA96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3478CCC5" w14:textId="26BD5BBF"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19546754" w14:textId="378E6914" w:rsidR="00822BEB" w:rsidRDefault="008B6819" w:rsidP="00822BEB">
            <w:pPr>
              <w:tabs>
                <w:tab w:val="left" w:pos="927"/>
              </w:tabs>
              <w:jc w:val="center"/>
              <w:rPr>
                <w:rFonts w:ascii="Arial" w:hAnsi="Arial" w:cs="Arial"/>
              </w:rPr>
            </w:pPr>
            <w:r>
              <w:rPr>
                <w:rFonts w:ascii="Arial" w:hAnsi="Arial" w:cs="Arial"/>
              </w:rPr>
              <w:t>80</w:t>
            </w:r>
          </w:p>
        </w:tc>
        <w:tc>
          <w:tcPr>
            <w:tcW w:w="752" w:type="dxa"/>
            <w:vAlign w:val="center"/>
          </w:tcPr>
          <w:p w14:paraId="560CB91D" w14:textId="620532FF" w:rsidR="00822BEB" w:rsidRDefault="008B6819" w:rsidP="00822BEB">
            <w:pPr>
              <w:tabs>
                <w:tab w:val="left" w:pos="927"/>
              </w:tabs>
              <w:jc w:val="center"/>
              <w:rPr>
                <w:rFonts w:ascii="Arial" w:hAnsi="Arial" w:cs="Arial"/>
              </w:rPr>
            </w:pPr>
            <w:r>
              <w:rPr>
                <w:rFonts w:ascii="Arial" w:hAnsi="Arial" w:cs="Arial"/>
              </w:rPr>
              <w:t>80</w:t>
            </w:r>
          </w:p>
        </w:tc>
      </w:tr>
      <w:tr w:rsidR="00822BEB" w14:paraId="1498FB18" w14:textId="77777777" w:rsidTr="00316CF5">
        <w:trPr>
          <w:trHeight w:val="567"/>
        </w:trPr>
        <w:tc>
          <w:tcPr>
            <w:tcW w:w="2315" w:type="dxa"/>
            <w:shd w:val="clear" w:color="auto" w:fill="006699"/>
            <w:vAlign w:val="center"/>
          </w:tcPr>
          <w:p w14:paraId="7810EE49" w14:textId="1BF174DE"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94% &amp; 95%</w:t>
            </w:r>
          </w:p>
        </w:tc>
        <w:tc>
          <w:tcPr>
            <w:tcW w:w="750" w:type="dxa"/>
            <w:vAlign w:val="center"/>
          </w:tcPr>
          <w:p w14:paraId="3C926FB7" w14:textId="301D718A"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58D4896F" w14:textId="3FB90B60"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6CA94BE0" w14:textId="58F631CF"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5D0C770" w14:textId="26BD16E0"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257FDF4B" w14:textId="4C2C38CA"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35A5FE4A" w14:textId="1EDC3B3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3C191FA5" w14:textId="400263EB"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2ADFD0B6" w14:textId="4FCF9D5C"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6756B2CD" w14:textId="7D096AB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41656C4" w14:textId="05D915BE"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680B4D15" w14:textId="1E05285D" w:rsidR="00822BEB" w:rsidRDefault="008B6819" w:rsidP="00822BEB">
            <w:pPr>
              <w:tabs>
                <w:tab w:val="left" w:pos="927"/>
              </w:tabs>
              <w:jc w:val="center"/>
              <w:rPr>
                <w:rFonts w:ascii="Arial" w:hAnsi="Arial" w:cs="Arial"/>
              </w:rPr>
            </w:pPr>
            <w:r>
              <w:rPr>
                <w:rFonts w:ascii="Arial" w:hAnsi="Arial" w:cs="Arial"/>
              </w:rPr>
              <w:t>80</w:t>
            </w:r>
          </w:p>
        </w:tc>
      </w:tr>
      <w:tr w:rsidR="00822BEB" w14:paraId="43769F2D" w14:textId="77777777" w:rsidTr="00316CF5">
        <w:trPr>
          <w:trHeight w:val="567"/>
        </w:trPr>
        <w:tc>
          <w:tcPr>
            <w:tcW w:w="2315" w:type="dxa"/>
            <w:shd w:val="clear" w:color="auto" w:fill="006699"/>
            <w:vAlign w:val="center"/>
          </w:tcPr>
          <w:p w14:paraId="4BE580BD" w14:textId="0BB9E041"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96%</w:t>
            </w:r>
          </w:p>
        </w:tc>
        <w:tc>
          <w:tcPr>
            <w:tcW w:w="750" w:type="dxa"/>
            <w:vAlign w:val="center"/>
          </w:tcPr>
          <w:p w14:paraId="3E88B544" w14:textId="20ACF976"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1D9ECD0B" w14:textId="1E592E58"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702CE294" w14:textId="4B4058E9"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04FD41D4" w14:textId="4FBB81FB"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02D31173" w14:textId="3F93D219"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6511B6D" w14:textId="1ECDACD8"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20961CB6" w14:textId="08FB32A8"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9D8431E" w14:textId="650ABD1F"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89396F0" w14:textId="53DD89D6"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11124224" w14:textId="41DF67A6"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4802776" w14:textId="10C1DA88" w:rsidR="00822BEB" w:rsidRDefault="008B6819" w:rsidP="00822BEB">
            <w:pPr>
              <w:tabs>
                <w:tab w:val="left" w:pos="927"/>
              </w:tabs>
              <w:jc w:val="center"/>
              <w:rPr>
                <w:rFonts w:ascii="Arial" w:hAnsi="Arial" w:cs="Arial"/>
              </w:rPr>
            </w:pPr>
            <w:r>
              <w:rPr>
                <w:rFonts w:ascii="Arial" w:hAnsi="Arial" w:cs="Arial"/>
              </w:rPr>
              <w:t>50</w:t>
            </w:r>
          </w:p>
        </w:tc>
      </w:tr>
      <w:tr w:rsidR="00822BEB" w14:paraId="1D763E61" w14:textId="77777777" w:rsidTr="00316CF5">
        <w:trPr>
          <w:trHeight w:val="567"/>
        </w:trPr>
        <w:tc>
          <w:tcPr>
            <w:tcW w:w="2315" w:type="dxa"/>
            <w:shd w:val="clear" w:color="auto" w:fill="006699"/>
            <w:vAlign w:val="center"/>
          </w:tcPr>
          <w:p w14:paraId="0B69C99B" w14:textId="421AAD35"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97%</w:t>
            </w:r>
          </w:p>
        </w:tc>
        <w:tc>
          <w:tcPr>
            <w:tcW w:w="750" w:type="dxa"/>
            <w:vAlign w:val="center"/>
          </w:tcPr>
          <w:p w14:paraId="7467E405" w14:textId="4D0BC9DB"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50A3942B" w14:textId="6D4A6D3D"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E78154E" w14:textId="4D80CBE6"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4FD62973" w14:textId="65A72BFE"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660111FE" w14:textId="5D2BF99C"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21C28B8" w14:textId="3D88E307"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1D5306D1" w14:textId="66CC7E25"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5394FF4" w14:textId="5F252622"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52BCF6D1" w14:textId="1A587474"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36558C17" w14:textId="74F6B7B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AEC11DF" w14:textId="546B0615" w:rsidR="00822BEB" w:rsidRDefault="008B6819" w:rsidP="00822BEB">
            <w:pPr>
              <w:tabs>
                <w:tab w:val="left" w:pos="927"/>
              </w:tabs>
              <w:jc w:val="center"/>
              <w:rPr>
                <w:rFonts w:ascii="Arial" w:hAnsi="Arial" w:cs="Arial"/>
              </w:rPr>
            </w:pPr>
            <w:r>
              <w:rPr>
                <w:rFonts w:ascii="Arial" w:hAnsi="Arial" w:cs="Arial"/>
              </w:rPr>
              <w:t>50</w:t>
            </w:r>
          </w:p>
        </w:tc>
      </w:tr>
      <w:tr w:rsidR="00822BEB" w14:paraId="3C0C6FDD" w14:textId="77777777" w:rsidTr="00316CF5">
        <w:trPr>
          <w:trHeight w:val="567"/>
        </w:trPr>
        <w:tc>
          <w:tcPr>
            <w:tcW w:w="2315" w:type="dxa"/>
            <w:shd w:val="clear" w:color="auto" w:fill="006699"/>
            <w:vAlign w:val="center"/>
          </w:tcPr>
          <w:p w14:paraId="5C43C2B6" w14:textId="794F2184"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98%</w:t>
            </w:r>
          </w:p>
        </w:tc>
        <w:tc>
          <w:tcPr>
            <w:tcW w:w="750" w:type="dxa"/>
            <w:vAlign w:val="center"/>
          </w:tcPr>
          <w:p w14:paraId="2E91B827" w14:textId="17746CCB"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2752898F" w14:textId="517E96E3"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474012D" w14:textId="4E5CA9AB"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115DE71A" w14:textId="33850D91"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A779C6C" w14:textId="77966B32"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39B8BC1E" w14:textId="3FE458BA"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F159F6A" w14:textId="6D1769DF"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7B91A183" w14:textId="253EC537"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CEE101C" w14:textId="21B78BF5"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73ECBCD6" w14:textId="04E27ED2"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5C15668F" w14:textId="17503F6E" w:rsidR="00822BEB" w:rsidRDefault="008B6819" w:rsidP="00822BEB">
            <w:pPr>
              <w:tabs>
                <w:tab w:val="left" w:pos="927"/>
              </w:tabs>
              <w:jc w:val="center"/>
              <w:rPr>
                <w:rFonts w:ascii="Arial" w:hAnsi="Arial" w:cs="Arial"/>
              </w:rPr>
            </w:pPr>
            <w:r>
              <w:rPr>
                <w:rFonts w:ascii="Arial" w:hAnsi="Arial" w:cs="Arial"/>
              </w:rPr>
              <w:t>40</w:t>
            </w:r>
          </w:p>
        </w:tc>
      </w:tr>
      <w:tr w:rsidR="00822BEB" w14:paraId="3DC38182" w14:textId="77777777" w:rsidTr="00316CF5">
        <w:trPr>
          <w:trHeight w:val="567"/>
        </w:trPr>
        <w:tc>
          <w:tcPr>
            <w:tcW w:w="2315" w:type="dxa"/>
            <w:shd w:val="clear" w:color="auto" w:fill="006699"/>
            <w:vAlign w:val="center"/>
          </w:tcPr>
          <w:p w14:paraId="442C4B0D" w14:textId="0F34F928"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99%</w:t>
            </w:r>
          </w:p>
        </w:tc>
        <w:tc>
          <w:tcPr>
            <w:tcW w:w="750" w:type="dxa"/>
            <w:vAlign w:val="center"/>
          </w:tcPr>
          <w:p w14:paraId="7247FC6C" w14:textId="58CE605D"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4EABBF1C" w14:textId="2390FCF5"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DCF6306" w14:textId="4D2F270D"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0816AC75" w14:textId="256457EF"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68E2BEB9" w14:textId="0B057F9C"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DBB9E37" w14:textId="4A6A30C5"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01B18A1D" w14:textId="642034D5"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130C1DC1" w14:textId="54739F44"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2DE36D4" w14:textId="2C38076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31EA38F6" w14:textId="48AB3C5D"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0197F5F6" w14:textId="2E81C99F" w:rsidR="00822BEB" w:rsidRDefault="008B6819" w:rsidP="00822BEB">
            <w:pPr>
              <w:tabs>
                <w:tab w:val="left" w:pos="927"/>
              </w:tabs>
              <w:jc w:val="center"/>
              <w:rPr>
                <w:rFonts w:ascii="Arial" w:hAnsi="Arial" w:cs="Arial"/>
              </w:rPr>
            </w:pPr>
            <w:r>
              <w:rPr>
                <w:rFonts w:ascii="Arial" w:hAnsi="Arial" w:cs="Arial"/>
              </w:rPr>
              <w:t>30</w:t>
            </w:r>
          </w:p>
        </w:tc>
      </w:tr>
    </w:tbl>
    <w:p w14:paraId="2CA830C2" w14:textId="77777777" w:rsidR="00523515" w:rsidRDefault="00523515" w:rsidP="004616F3">
      <w:pPr>
        <w:tabs>
          <w:tab w:val="left" w:pos="927"/>
        </w:tabs>
        <w:rPr>
          <w:rFonts w:ascii="Arial" w:hAnsi="Arial" w:cs="Arial"/>
        </w:rPr>
      </w:pPr>
    </w:p>
    <w:p w14:paraId="3DA8834C" w14:textId="77777777" w:rsidR="00523515" w:rsidRDefault="00523515" w:rsidP="004616F3">
      <w:pPr>
        <w:tabs>
          <w:tab w:val="left" w:pos="927"/>
        </w:tabs>
        <w:rPr>
          <w:rFonts w:ascii="Arial" w:hAnsi="Arial" w:cs="Arial"/>
        </w:rPr>
      </w:pPr>
    </w:p>
    <w:p w14:paraId="10E309E7" w14:textId="1362C5D7" w:rsidR="00FC6A3B" w:rsidRPr="00FC6A3B" w:rsidRDefault="00523515"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92032" behindDoc="0" locked="0" layoutInCell="1" allowOverlap="1" wp14:anchorId="082D89F6" wp14:editId="51FD8894">
                <wp:simplePos x="0" y="0"/>
                <wp:positionH relativeFrom="column">
                  <wp:posOffset>-826770</wp:posOffset>
                </wp:positionH>
                <wp:positionV relativeFrom="paragraph">
                  <wp:posOffset>-432435</wp:posOffset>
                </wp:positionV>
                <wp:extent cx="7418070" cy="361666"/>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0106862" w14:textId="09FD1A69"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B: Primary tariff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89F6" id="Text Box 17" o:spid="_x0000_s1041" type="#_x0000_t202" style="position:absolute;margin-left:-65.1pt;margin-top:-34.05pt;width:584.1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" fillcolor="#069" stroked="f" strokeweight=".5pt">
                <v:textbox>
                  <w:txbxContent>
                    <w:p w14:paraId="30106862" w14:textId="09FD1A69"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B: Primary tariff schedule</w:t>
                      </w:r>
                    </w:p>
                  </w:txbxContent>
                </v:textbox>
              </v:shape>
            </w:pict>
          </mc:Fallback>
        </mc:AlternateContent>
      </w:r>
      <w:r w:rsidR="00FC6A3B" w:rsidRPr="00FC6A3B">
        <w:rPr>
          <w:rFonts w:ascii="Arial" w:hAnsi="Arial" w:cs="Arial"/>
        </w:rPr>
        <w:t>This section sets out the Wholesale Charges Schedule made by County Water Limited under the Section 143 of the Water Industry Act 1991</w:t>
      </w:r>
      <w:r w:rsidR="00B66204">
        <w:rPr>
          <w:rFonts w:ascii="Arial" w:hAnsi="Arial" w:cs="Arial"/>
        </w:rPr>
        <w:t>(as amended)</w:t>
      </w:r>
      <w:r w:rsidR="00FC6A3B" w:rsidRPr="00FC6A3B">
        <w:rPr>
          <w:rFonts w:ascii="Arial" w:hAnsi="Arial" w:cs="Arial"/>
        </w:rPr>
        <w:t xml:space="preserve">. It contains the wholesale household and non-household primary and special agreement wholesale charges for </w:t>
      </w:r>
      <w:r w:rsidR="00180866">
        <w:rPr>
          <w:rFonts w:ascii="Arial" w:hAnsi="Arial" w:cs="Arial"/>
        </w:rPr>
        <w:t>202</w:t>
      </w:r>
      <w:r w:rsidR="00007BFA">
        <w:rPr>
          <w:rFonts w:ascii="Arial" w:hAnsi="Arial" w:cs="Arial"/>
        </w:rPr>
        <w:t>3</w:t>
      </w:r>
      <w:r w:rsidR="00FC6A3B" w:rsidRPr="00FC6A3B">
        <w:rPr>
          <w:rFonts w:ascii="Arial" w:hAnsi="Arial" w:cs="Arial"/>
        </w:rPr>
        <w:t>-</w:t>
      </w:r>
      <w:r w:rsidR="00587063">
        <w:rPr>
          <w:rFonts w:ascii="Arial" w:hAnsi="Arial" w:cs="Arial"/>
        </w:rPr>
        <w:t>2</w:t>
      </w:r>
      <w:r w:rsidR="00007BFA">
        <w:rPr>
          <w:rFonts w:ascii="Arial" w:hAnsi="Arial" w:cs="Arial"/>
        </w:rPr>
        <w:t>4</w:t>
      </w:r>
      <w:r w:rsidR="00FC6A3B" w:rsidRPr="00FC6A3B">
        <w:rPr>
          <w:rFonts w:ascii="Arial" w:hAnsi="Arial" w:cs="Arial"/>
        </w:rPr>
        <w:t xml:space="preserve">. </w:t>
      </w:r>
    </w:p>
    <w:p w14:paraId="1CFD38BD" w14:textId="4556692C" w:rsidR="00FC6A3B" w:rsidRPr="00FC6A3B" w:rsidRDefault="00FC6A3B" w:rsidP="004616F3">
      <w:pPr>
        <w:tabs>
          <w:tab w:val="left" w:pos="927"/>
        </w:tabs>
        <w:rPr>
          <w:rFonts w:ascii="Arial" w:hAnsi="Arial" w:cs="Arial"/>
        </w:rPr>
      </w:pPr>
      <w:r w:rsidRPr="00FC6A3B">
        <w:rPr>
          <w:rFonts w:ascii="Arial" w:hAnsi="Arial" w:cs="Arial"/>
        </w:rPr>
        <w:t>The Charges at Part A</w:t>
      </w:r>
      <w:r w:rsidR="00C72818">
        <w:rPr>
          <w:rFonts w:ascii="Arial" w:hAnsi="Arial" w:cs="Arial"/>
        </w:rPr>
        <w:t>:</w:t>
      </w:r>
      <w:r w:rsidRPr="00FC6A3B">
        <w:rPr>
          <w:rFonts w:ascii="Arial" w:hAnsi="Arial" w:cs="Arial"/>
        </w:rPr>
        <w:t xml:space="preserve"> (insofar as they apply to non-household customers) have been prepared in accordance with the Wholesale Charges Rules. </w:t>
      </w:r>
    </w:p>
    <w:p w14:paraId="17BDEBCA" w14:textId="39EB1BA6" w:rsidR="00FC6A3B" w:rsidRDefault="007E299E"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96128" behindDoc="0" locked="0" layoutInCell="1" allowOverlap="1" wp14:anchorId="0B907956" wp14:editId="7B7DA75E">
                <wp:simplePos x="0" y="0"/>
                <wp:positionH relativeFrom="column">
                  <wp:posOffset>-826936</wp:posOffset>
                </wp:positionH>
                <wp:positionV relativeFrom="paragraph">
                  <wp:posOffset>86829</wp:posOffset>
                </wp:positionV>
                <wp:extent cx="7418070" cy="361666"/>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E9D11B9" w14:textId="3C7437F0"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 xml:space="preserve">B.1.0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7956" id="Text Box 19" o:spid="_x0000_s1042" type="#_x0000_t202" style="position:absolute;margin-left:-65.1pt;margin-top:6.85pt;width:584.1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" fillcolor="#069" stroked="f" strokeweight=".5pt">
                <v:textbox>
                  <w:txbxContent>
                    <w:p w14:paraId="2E9D11B9" w14:textId="3C7437F0"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 xml:space="preserve">B.1.0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charges </w:t>
                      </w:r>
                    </w:p>
                  </w:txbxContent>
                </v:textbox>
              </v:shape>
            </w:pict>
          </mc:Fallback>
        </mc:AlternateContent>
      </w:r>
    </w:p>
    <w:p w14:paraId="213CA545" w14:textId="77777777" w:rsidR="007E299E" w:rsidRDefault="007E299E" w:rsidP="004616F3">
      <w:pPr>
        <w:tabs>
          <w:tab w:val="left" w:pos="927"/>
        </w:tabs>
        <w:rPr>
          <w:rFonts w:ascii="Arial" w:hAnsi="Arial" w:cs="Arial"/>
        </w:rPr>
      </w:pPr>
    </w:p>
    <w:p w14:paraId="459ACFF7" w14:textId="77777777" w:rsidR="007E299E" w:rsidRDefault="00FC6A3B" w:rsidP="004616F3">
      <w:pPr>
        <w:tabs>
          <w:tab w:val="left" w:pos="927"/>
        </w:tabs>
        <w:rPr>
          <w:rFonts w:ascii="Arial" w:hAnsi="Arial" w:cs="Arial"/>
        </w:rPr>
      </w:pPr>
      <w:r w:rsidRPr="00FC6A3B">
        <w:rPr>
          <w:rFonts w:ascii="Arial" w:hAnsi="Arial" w:cs="Arial"/>
        </w:rPr>
        <w:t>Household premises receive</w:t>
      </w:r>
      <w:r w:rsidR="007E299E">
        <w:rPr>
          <w:rFonts w:ascii="Arial" w:hAnsi="Arial" w:cs="Arial"/>
        </w:rPr>
        <w:t xml:space="preserve"> the following charges: </w:t>
      </w:r>
    </w:p>
    <w:p w14:paraId="0ECD115E" w14:textId="098E0E44" w:rsidR="007E299E" w:rsidRDefault="007E299E" w:rsidP="007E299E">
      <w:pPr>
        <w:pStyle w:val="ListParagraph"/>
        <w:numPr>
          <w:ilvl w:val="0"/>
          <w:numId w:val="7"/>
        </w:numPr>
        <w:tabs>
          <w:tab w:val="left" w:pos="927"/>
        </w:tabs>
        <w:rPr>
          <w:rFonts w:ascii="Arial" w:hAnsi="Arial" w:cs="Arial"/>
        </w:rPr>
      </w:pPr>
      <w:r>
        <w:rPr>
          <w:rFonts w:ascii="Arial" w:hAnsi="Arial" w:cs="Arial"/>
        </w:rPr>
        <w:t>F</w:t>
      </w:r>
      <w:r w:rsidR="00FC6A3B" w:rsidRPr="007E299E">
        <w:rPr>
          <w:rFonts w:ascii="Arial" w:hAnsi="Arial" w:cs="Arial"/>
        </w:rPr>
        <w:t>ixed charge</w:t>
      </w:r>
      <w:r w:rsidRPr="007E299E">
        <w:rPr>
          <w:rFonts w:ascii="Arial" w:hAnsi="Arial" w:cs="Arial"/>
        </w:rPr>
        <w:t>s</w:t>
      </w:r>
      <w:r w:rsidR="00FC6A3B" w:rsidRPr="007E299E">
        <w:rPr>
          <w:rFonts w:ascii="Arial" w:hAnsi="Arial" w:cs="Arial"/>
        </w:rPr>
        <w:t xml:space="preserve"> (full or abated) for </w:t>
      </w:r>
      <w:proofErr w:type="gramStart"/>
      <w:r w:rsidR="00336421">
        <w:rPr>
          <w:rFonts w:ascii="Arial" w:hAnsi="Arial" w:cs="Arial"/>
        </w:rPr>
        <w:t>waste water</w:t>
      </w:r>
      <w:proofErr w:type="gramEnd"/>
      <w:r w:rsidR="00FC6A3B" w:rsidRPr="007E299E">
        <w:rPr>
          <w:rFonts w:ascii="Arial" w:hAnsi="Arial" w:cs="Arial"/>
        </w:rPr>
        <w:t xml:space="preserve"> services (charge is fixed for all households);</w:t>
      </w:r>
      <w:r w:rsidRPr="007E299E">
        <w:rPr>
          <w:rFonts w:ascii="Arial" w:hAnsi="Arial" w:cs="Arial"/>
        </w:rPr>
        <w:t xml:space="preserve"> </w:t>
      </w:r>
    </w:p>
    <w:p w14:paraId="44AE5502" w14:textId="2D65EE00" w:rsidR="00A704F7" w:rsidRDefault="007E299E" w:rsidP="007E299E">
      <w:pPr>
        <w:pStyle w:val="ListParagraph"/>
        <w:numPr>
          <w:ilvl w:val="0"/>
          <w:numId w:val="7"/>
        </w:numPr>
        <w:tabs>
          <w:tab w:val="left" w:pos="927"/>
        </w:tabs>
        <w:rPr>
          <w:rFonts w:ascii="Arial" w:hAnsi="Arial" w:cs="Arial"/>
        </w:rPr>
      </w:pPr>
      <w:r>
        <w:rPr>
          <w:rFonts w:ascii="Arial" w:hAnsi="Arial" w:cs="Arial"/>
        </w:rPr>
        <w:t>V</w:t>
      </w:r>
      <w:r w:rsidRPr="007E299E">
        <w:rPr>
          <w:rFonts w:ascii="Arial" w:hAnsi="Arial" w:cs="Arial"/>
        </w:rPr>
        <w:t xml:space="preserve">ariable charge for </w:t>
      </w:r>
      <w:proofErr w:type="gramStart"/>
      <w:r w:rsidR="00336421">
        <w:rPr>
          <w:rFonts w:ascii="Arial" w:hAnsi="Arial" w:cs="Arial"/>
        </w:rPr>
        <w:t>waste water</w:t>
      </w:r>
      <w:proofErr w:type="gramEnd"/>
      <w:r w:rsidRPr="007E299E">
        <w:rPr>
          <w:rFonts w:ascii="Arial" w:hAnsi="Arial" w:cs="Arial"/>
        </w:rPr>
        <w:t xml:space="preserve"> services (based on metered usage and volumetric unit rate).</w:t>
      </w:r>
    </w:p>
    <w:p w14:paraId="2E4A233D" w14:textId="65BFA0E9" w:rsidR="007E299E" w:rsidRDefault="007E299E" w:rsidP="007E299E">
      <w:pPr>
        <w:tabs>
          <w:tab w:val="left" w:pos="927"/>
        </w:tabs>
        <w:rPr>
          <w:rFonts w:ascii="Arial" w:hAnsi="Arial" w:cs="Arial"/>
        </w:rPr>
      </w:pPr>
      <w:r w:rsidRPr="007E299E">
        <w:rPr>
          <w:rFonts w:ascii="Arial" w:hAnsi="Arial" w:cs="Arial"/>
        </w:rPr>
        <w:t>Non-household charges are levied as follows:</w:t>
      </w:r>
    </w:p>
    <w:p w14:paraId="5FEBDDD9" w14:textId="581FAA81" w:rsidR="007E299E" w:rsidRPr="007E299E" w:rsidRDefault="007E299E" w:rsidP="007E299E">
      <w:pPr>
        <w:pStyle w:val="ListParagraph"/>
        <w:numPr>
          <w:ilvl w:val="0"/>
          <w:numId w:val="8"/>
        </w:numPr>
        <w:tabs>
          <w:tab w:val="left" w:pos="927"/>
        </w:tabs>
        <w:rPr>
          <w:rFonts w:ascii="Arial" w:hAnsi="Arial" w:cs="Arial"/>
        </w:rPr>
      </w:pPr>
      <w:r w:rsidRPr="007E299E">
        <w:rPr>
          <w:rFonts w:ascii="Arial" w:hAnsi="Arial" w:cs="Arial"/>
        </w:rPr>
        <w:t xml:space="preserve">Variable charge for </w:t>
      </w:r>
      <w:proofErr w:type="gramStart"/>
      <w:r w:rsidR="00336421">
        <w:rPr>
          <w:rFonts w:ascii="Arial" w:hAnsi="Arial" w:cs="Arial"/>
        </w:rPr>
        <w:t>waste water</w:t>
      </w:r>
      <w:proofErr w:type="gramEnd"/>
      <w:r w:rsidRPr="007E299E">
        <w:rPr>
          <w:rFonts w:ascii="Arial" w:hAnsi="Arial" w:cs="Arial"/>
        </w:rPr>
        <w:t xml:space="preserve"> services (based on metered usage and volumetric unit rate);</w:t>
      </w:r>
    </w:p>
    <w:p w14:paraId="3DC71B3D" w14:textId="250BC43F" w:rsidR="007E299E" w:rsidRDefault="007E299E" w:rsidP="007E299E">
      <w:pPr>
        <w:pStyle w:val="ListParagraph"/>
        <w:numPr>
          <w:ilvl w:val="0"/>
          <w:numId w:val="8"/>
        </w:numPr>
        <w:tabs>
          <w:tab w:val="left" w:pos="927"/>
        </w:tabs>
        <w:rPr>
          <w:rFonts w:ascii="Arial" w:hAnsi="Arial" w:cs="Arial"/>
        </w:rPr>
      </w:pPr>
      <w:r w:rsidRPr="007E299E">
        <w:rPr>
          <w:rFonts w:ascii="Arial" w:hAnsi="Arial" w:cs="Arial"/>
        </w:rPr>
        <w:t xml:space="preserve">Fixed charge (full or abated) for </w:t>
      </w:r>
      <w:proofErr w:type="gramStart"/>
      <w:r w:rsidR="00336421">
        <w:rPr>
          <w:rFonts w:ascii="Arial" w:hAnsi="Arial" w:cs="Arial"/>
        </w:rPr>
        <w:t>waste water</w:t>
      </w:r>
      <w:proofErr w:type="gramEnd"/>
      <w:r w:rsidRPr="007E299E">
        <w:rPr>
          <w:rFonts w:ascii="Arial" w:hAnsi="Arial" w:cs="Arial"/>
        </w:rPr>
        <w:t xml:space="preserve"> services (charge varies by pipe size)</w:t>
      </w:r>
      <w:r w:rsidR="00C72818">
        <w:rPr>
          <w:rFonts w:ascii="Arial" w:hAnsi="Arial" w:cs="Arial"/>
        </w:rPr>
        <w:t>.</w:t>
      </w:r>
    </w:p>
    <w:p w14:paraId="4F746C98" w14:textId="79F6FB38" w:rsidR="00B66204" w:rsidRDefault="00B66204" w:rsidP="007E299E">
      <w:pPr>
        <w:pStyle w:val="ListParagraph"/>
        <w:numPr>
          <w:ilvl w:val="0"/>
          <w:numId w:val="8"/>
        </w:numPr>
        <w:tabs>
          <w:tab w:val="left" w:pos="927"/>
        </w:tabs>
        <w:rPr>
          <w:rFonts w:ascii="Arial" w:hAnsi="Arial" w:cs="Arial"/>
        </w:rPr>
      </w:pPr>
      <w:r>
        <w:rPr>
          <w:rFonts w:ascii="Arial" w:hAnsi="Arial" w:cs="Arial"/>
        </w:rPr>
        <w:t xml:space="preserve">Supplementary </w:t>
      </w:r>
      <w:proofErr w:type="gramStart"/>
      <w:r>
        <w:rPr>
          <w:rFonts w:ascii="Arial" w:hAnsi="Arial" w:cs="Arial"/>
        </w:rPr>
        <w:t>waste water</w:t>
      </w:r>
      <w:proofErr w:type="gramEnd"/>
      <w:r>
        <w:rPr>
          <w:rFonts w:ascii="Arial" w:hAnsi="Arial" w:cs="Arial"/>
        </w:rPr>
        <w:t xml:space="preserve"> annual charge for large user status.</w:t>
      </w:r>
    </w:p>
    <w:p w14:paraId="222A14F9" w14:textId="77777777" w:rsidR="00C72818" w:rsidRDefault="00C72818" w:rsidP="00C72818">
      <w:pPr>
        <w:tabs>
          <w:tab w:val="left" w:pos="927"/>
        </w:tabs>
        <w:rPr>
          <w:rFonts w:ascii="Arial" w:hAnsi="Arial" w:cs="Arial"/>
        </w:rPr>
      </w:pPr>
    </w:p>
    <w:p w14:paraId="38E34A43" w14:textId="13107AAC" w:rsidR="00B66204" w:rsidRDefault="00B66204">
      <w:pPr>
        <w:rPr>
          <w:rFonts w:ascii="Arial" w:hAnsi="Arial" w:cs="Arial"/>
        </w:rPr>
      </w:pPr>
      <w:r>
        <w:rPr>
          <w:rFonts w:ascii="Arial" w:hAnsi="Arial" w:cs="Arial"/>
        </w:rPr>
        <w:br w:type="page"/>
      </w:r>
    </w:p>
    <w:p w14:paraId="0ADA5734" w14:textId="18AC1DCD" w:rsidR="007E299E" w:rsidRDefault="00C72818" w:rsidP="00C72818">
      <w:pPr>
        <w:tabs>
          <w:tab w:val="left" w:pos="927"/>
        </w:tabs>
      </w:pPr>
      <w:r>
        <w:rPr>
          <w:rFonts w:ascii="Arial" w:hAnsi="Arial" w:cs="Arial"/>
          <w:b/>
          <w:noProof/>
          <w:sz w:val="24"/>
          <w:lang w:eastAsia="en-GB"/>
        </w:rPr>
        <w:lastRenderedPageBreak/>
        <mc:AlternateContent>
          <mc:Choice Requires="wps">
            <w:drawing>
              <wp:anchor distT="0" distB="0" distL="114300" distR="114300" simplePos="0" relativeHeight="251698176" behindDoc="0" locked="0" layoutInCell="1" allowOverlap="1" wp14:anchorId="4C6A8EF8" wp14:editId="79F0572D">
                <wp:simplePos x="0" y="0"/>
                <wp:positionH relativeFrom="column">
                  <wp:posOffset>-850265</wp:posOffset>
                </wp:positionH>
                <wp:positionV relativeFrom="paragraph">
                  <wp:posOffset>-1270</wp:posOffset>
                </wp:positionV>
                <wp:extent cx="7418070" cy="361666"/>
                <wp:effectExtent l="0" t="0" r="0" b="635"/>
                <wp:wrapNone/>
                <wp:docPr id="20" name="Text Box 2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3E66E6E" w14:textId="4B1ECF91"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B.1.1 Fixed charges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8EF8" id="Text Box 20" o:spid="_x0000_s1043" type="#_x0000_t202" style="position:absolute;margin-left:-66.95pt;margin-top:-.1pt;width:584.1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" fillcolor="#069" stroked="f" strokeweight=".5pt">
                <v:textbox>
                  <w:txbxContent>
                    <w:p w14:paraId="63E66E6E" w14:textId="4B1ECF91"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B.1.1 Fixed charges per year</w:t>
                      </w:r>
                    </w:p>
                  </w:txbxContent>
                </v:textbox>
              </v:shape>
            </w:pict>
          </mc:Fallback>
        </mc:AlternateContent>
      </w:r>
    </w:p>
    <w:p w14:paraId="6C4D1333" w14:textId="7E8256A2" w:rsidR="007E299E" w:rsidRDefault="007E299E" w:rsidP="007E299E">
      <w:pPr>
        <w:tabs>
          <w:tab w:val="left" w:pos="7325"/>
        </w:tabs>
      </w:pPr>
    </w:p>
    <w:tbl>
      <w:tblPr>
        <w:tblStyle w:val="TableGrid"/>
        <w:tblW w:w="11340" w:type="dxa"/>
        <w:tblInd w:w="-1165" w:type="dxa"/>
        <w:tblLayout w:type="fixed"/>
        <w:tblLook w:val="04A0" w:firstRow="1" w:lastRow="0" w:firstColumn="1" w:lastColumn="0" w:noHBand="0" w:noVBand="1"/>
      </w:tblPr>
      <w:tblGrid>
        <w:gridCol w:w="2835"/>
        <w:gridCol w:w="2835"/>
        <w:gridCol w:w="2835"/>
        <w:gridCol w:w="2835"/>
      </w:tblGrid>
      <w:tr w:rsidR="0030517C" w14:paraId="314363C7" w14:textId="77777777" w:rsidTr="00447AEE">
        <w:trPr>
          <w:trHeight w:val="510"/>
        </w:trPr>
        <w:tc>
          <w:tcPr>
            <w:tcW w:w="5670" w:type="dxa"/>
            <w:gridSpan w:val="2"/>
            <w:shd w:val="clear" w:color="auto" w:fill="006699"/>
            <w:vAlign w:val="center"/>
          </w:tcPr>
          <w:p w14:paraId="2C054B88" w14:textId="4067F1F6" w:rsidR="0030517C" w:rsidRPr="00447AEE" w:rsidRDefault="0030517C" w:rsidP="0030517C">
            <w:pPr>
              <w:jc w:val="center"/>
              <w:rPr>
                <w:rFonts w:ascii="Arial" w:hAnsi="Arial" w:cs="Arial"/>
                <w:b/>
                <w:color w:val="FFFFFF" w:themeColor="background1"/>
                <w:sz w:val="24"/>
              </w:rPr>
            </w:pPr>
            <w:r w:rsidRPr="00447AEE">
              <w:rPr>
                <w:rFonts w:ascii="Arial" w:hAnsi="Arial" w:cs="Arial"/>
                <w:b/>
                <w:color w:val="FFFFFF" w:themeColor="background1"/>
                <w:sz w:val="24"/>
              </w:rPr>
              <w:t>Pipe Size</w:t>
            </w:r>
          </w:p>
        </w:tc>
        <w:tc>
          <w:tcPr>
            <w:tcW w:w="5670" w:type="dxa"/>
            <w:gridSpan w:val="2"/>
            <w:shd w:val="clear" w:color="auto" w:fill="006699"/>
            <w:vAlign w:val="center"/>
          </w:tcPr>
          <w:p w14:paraId="52661513" w14:textId="53F5BE1F" w:rsidR="0030517C" w:rsidRPr="00447AEE" w:rsidRDefault="00336421" w:rsidP="0030517C">
            <w:pPr>
              <w:jc w:val="center"/>
              <w:rPr>
                <w:rFonts w:ascii="Arial" w:hAnsi="Arial" w:cs="Arial"/>
                <w:b/>
                <w:color w:val="FFFFFF" w:themeColor="background1"/>
                <w:sz w:val="24"/>
              </w:rPr>
            </w:pPr>
            <w:r>
              <w:rPr>
                <w:rFonts w:ascii="Arial" w:hAnsi="Arial" w:cs="Arial"/>
                <w:b/>
                <w:color w:val="FFFFFF" w:themeColor="background1"/>
                <w:sz w:val="24"/>
              </w:rPr>
              <w:t>Waste water</w:t>
            </w:r>
          </w:p>
        </w:tc>
      </w:tr>
      <w:tr w:rsidR="002E04B2" w14:paraId="1A892E08" w14:textId="77777777" w:rsidTr="00447AEE">
        <w:trPr>
          <w:trHeight w:val="510"/>
        </w:trPr>
        <w:tc>
          <w:tcPr>
            <w:tcW w:w="2835" w:type="dxa"/>
            <w:shd w:val="clear" w:color="auto" w:fill="006699"/>
            <w:vAlign w:val="center"/>
          </w:tcPr>
          <w:p w14:paraId="01579606" w14:textId="1FB4B9D0"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Millimetre</w:t>
            </w:r>
          </w:p>
        </w:tc>
        <w:tc>
          <w:tcPr>
            <w:tcW w:w="2835" w:type="dxa"/>
            <w:shd w:val="clear" w:color="auto" w:fill="006699"/>
            <w:vAlign w:val="center"/>
          </w:tcPr>
          <w:p w14:paraId="182317A8" w14:textId="4C99A0A4"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Inches</w:t>
            </w:r>
          </w:p>
        </w:tc>
        <w:tc>
          <w:tcPr>
            <w:tcW w:w="2835" w:type="dxa"/>
            <w:shd w:val="clear" w:color="auto" w:fill="006699"/>
            <w:vAlign w:val="center"/>
          </w:tcPr>
          <w:p w14:paraId="154F59B5" w14:textId="5B85622D"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Full</w:t>
            </w:r>
          </w:p>
        </w:tc>
        <w:tc>
          <w:tcPr>
            <w:tcW w:w="2835" w:type="dxa"/>
            <w:shd w:val="clear" w:color="auto" w:fill="006699"/>
            <w:vAlign w:val="center"/>
          </w:tcPr>
          <w:p w14:paraId="20313349" w14:textId="250CF7BC"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Abated*</w:t>
            </w:r>
          </w:p>
        </w:tc>
      </w:tr>
      <w:tr w:rsidR="002E04B2" w14:paraId="166FEC99" w14:textId="77777777" w:rsidTr="00447AEE">
        <w:trPr>
          <w:trHeight w:val="510"/>
        </w:trPr>
        <w:tc>
          <w:tcPr>
            <w:tcW w:w="2835" w:type="dxa"/>
            <w:vAlign w:val="center"/>
          </w:tcPr>
          <w:p w14:paraId="1BB7B513" w14:textId="75DEB986" w:rsidR="002E04B2" w:rsidRPr="00447AEE" w:rsidRDefault="00B967D2" w:rsidP="00447AEE">
            <w:pPr>
              <w:rPr>
                <w:rFonts w:ascii="Arial" w:hAnsi="Arial" w:cs="Arial"/>
              </w:rPr>
            </w:pPr>
            <w:r>
              <w:rPr>
                <w:rFonts w:ascii="Arial" w:hAnsi="Arial" w:cs="Arial"/>
              </w:rPr>
              <w:t xml:space="preserve">Single </w:t>
            </w:r>
            <w:r w:rsidR="00447AEE" w:rsidRPr="00447AEE">
              <w:rPr>
                <w:rFonts w:ascii="Arial" w:hAnsi="Arial" w:cs="Arial"/>
              </w:rPr>
              <w:t>household*</w:t>
            </w:r>
          </w:p>
        </w:tc>
        <w:tc>
          <w:tcPr>
            <w:tcW w:w="2835" w:type="dxa"/>
            <w:vAlign w:val="center"/>
          </w:tcPr>
          <w:p w14:paraId="71AA52A8" w14:textId="5B9BD148" w:rsidR="002E04B2" w:rsidRDefault="00447AEE" w:rsidP="00447AEE">
            <w:pPr>
              <w:jc w:val="center"/>
            </w:pPr>
            <w:r>
              <w:t>N/A</w:t>
            </w:r>
          </w:p>
        </w:tc>
        <w:tc>
          <w:tcPr>
            <w:tcW w:w="2835" w:type="dxa"/>
            <w:vAlign w:val="center"/>
          </w:tcPr>
          <w:p w14:paraId="2E31FACB" w14:textId="7E646C62" w:rsidR="002E04B2" w:rsidRDefault="00447AEE" w:rsidP="00590AEA">
            <w:pPr>
              <w:jc w:val="center"/>
            </w:pPr>
            <w:r>
              <w:t>£</w:t>
            </w:r>
            <w:r w:rsidR="00610961">
              <w:t>51.15</w:t>
            </w:r>
          </w:p>
        </w:tc>
        <w:tc>
          <w:tcPr>
            <w:tcW w:w="2835" w:type="dxa"/>
            <w:vAlign w:val="center"/>
          </w:tcPr>
          <w:p w14:paraId="4E6F1470" w14:textId="2D26B9B3" w:rsidR="002E04B2" w:rsidRDefault="00447AEE" w:rsidP="00590AEA">
            <w:pPr>
              <w:jc w:val="center"/>
            </w:pPr>
            <w:r w:rsidRPr="00564CE7">
              <w:t>£</w:t>
            </w:r>
            <w:r w:rsidR="00610961">
              <w:t>18.69</w:t>
            </w:r>
          </w:p>
        </w:tc>
      </w:tr>
      <w:tr w:rsidR="0030517C" w14:paraId="2F5CAF68" w14:textId="77777777" w:rsidTr="00447AEE">
        <w:trPr>
          <w:trHeight w:val="510"/>
        </w:trPr>
        <w:tc>
          <w:tcPr>
            <w:tcW w:w="11340" w:type="dxa"/>
            <w:gridSpan w:val="4"/>
            <w:shd w:val="clear" w:color="auto" w:fill="006699"/>
            <w:vAlign w:val="center"/>
          </w:tcPr>
          <w:p w14:paraId="4CB3F8CD" w14:textId="2DB61CC6" w:rsidR="0030517C" w:rsidRPr="0030517C" w:rsidRDefault="0030517C" w:rsidP="0030517C">
            <w:pPr>
              <w:jc w:val="center"/>
              <w:rPr>
                <w:rFonts w:ascii="Arial" w:hAnsi="Arial" w:cs="Arial"/>
                <w:b/>
              </w:rPr>
            </w:pPr>
            <w:r w:rsidRPr="008667A7">
              <w:rPr>
                <w:rFonts w:ascii="Arial" w:hAnsi="Arial" w:cs="Arial"/>
                <w:b/>
                <w:color w:val="FFFFFF" w:themeColor="background1"/>
              </w:rPr>
              <w:t>Non-Households</w:t>
            </w:r>
          </w:p>
        </w:tc>
      </w:tr>
      <w:tr w:rsidR="002E04B2" w14:paraId="10C226B5" w14:textId="77777777" w:rsidTr="00447AEE">
        <w:trPr>
          <w:trHeight w:val="510"/>
        </w:trPr>
        <w:tc>
          <w:tcPr>
            <w:tcW w:w="2835" w:type="dxa"/>
            <w:vAlign w:val="center"/>
          </w:tcPr>
          <w:p w14:paraId="11C207F1" w14:textId="6C96EC0D" w:rsidR="002E04B2" w:rsidRDefault="00447AEE" w:rsidP="00447AEE">
            <w:r>
              <w:t>12/15</w:t>
            </w:r>
          </w:p>
        </w:tc>
        <w:tc>
          <w:tcPr>
            <w:tcW w:w="2835" w:type="dxa"/>
            <w:vAlign w:val="center"/>
          </w:tcPr>
          <w:p w14:paraId="5BB77640" w14:textId="79389CBC" w:rsidR="002E04B2" w:rsidRDefault="00447AEE" w:rsidP="00447AEE">
            <w:pPr>
              <w:jc w:val="center"/>
            </w:pPr>
            <w:r>
              <w:t>0.5</w:t>
            </w:r>
          </w:p>
        </w:tc>
        <w:tc>
          <w:tcPr>
            <w:tcW w:w="2835" w:type="dxa"/>
            <w:vAlign w:val="center"/>
          </w:tcPr>
          <w:p w14:paraId="28405CF4" w14:textId="692828DE" w:rsidR="002E04B2" w:rsidRDefault="00447AEE" w:rsidP="00590AEA">
            <w:pPr>
              <w:jc w:val="center"/>
            </w:pPr>
            <w:r>
              <w:t>£</w:t>
            </w:r>
            <w:r w:rsidR="0067291D">
              <w:t>51.15</w:t>
            </w:r>
          </w:p>
        </w:tc>
        <w:tc>
          <w:tcPr>
            <w:tcW w:w="2835" w:type="dxa"/>
            <w:vAlign w:val="center"/>
          </w:tcPr>
          <w:p w14:paraId="483ABF1A" w14:textId="2F97C537" w:rsidR="002E04B2" w:rsidRDefault="00447AEE" w:rsidP="00590AEA">
            <w:pPr>
              <w:jc w:val="center"/>
            </w:pPr>
            <w:r w:rsidRPr="00564CE7">
              <w:t>£</w:t>
            </w:r>
            <w:r w:rsidR="00E9788B">
              <w:t>18.69</w:t>
            </w:r>
          </w:p>
        </w:tc>
      </w:tr>
      <w:tr w:rsidR="002E04B2" w14:paraId="7BE5325C" w14:textId="77777777" w:rsidTr="00447AEE">
        <w:trPr>
          <w:trHeight w:val="510"/>
        </w:trPr>
        <w:tc>
          <w:tcPr>
            <w:tcW w:w="2835" w:type="dxa"/>
            <w:vAlign w:val="center"/>
          </w:tcPr>
          <w:p w14:paraId="0353B491" w14:textId="62F6F469" w:rsidR="002E04B2" w:rsidRDefault="00447AEE" w:rsidP="00447AEE">
            <w:r>
              <w:t>20/22</w:t>
            </w:r>
          </w:p>
        </w:tc>
        <w:tc>
          <w:tcPr>
            <w:tcW w:w="2835" w:type="dxa"/>
            <w:vAlign w:val="center"/>
          </w:tcPr>
          <w:p w14:paraId="3D42C4BD" w14:textId="55AA7B60" w:rsidR="002E04B2" w:rsidRDefault="00447AEE" w:rsidP="00447AEE">
            <w:pPr>
              <w:jc w:val="center"/>
            </w:pPr>
            <w:r>
              <w:t>0.75</w:t>
            </w:r>
          </w:p>
        </w:tc>
        <w:tc>
          <w:tcPr>
            <w:tcW w:w="2835" w:type="dxa"/>
            <w:vAlign w:val="center"/>
          </w:tcPr>
          <w:p w14:paraId="45826AFE" w14:textId="0A47901E" w:rsidR="002E04B2" w:rsidRDefault="00447AEE" w:rsidP="00590AEA">
            <w:pPr>
              <w:jc w:val="center"/>
            </w:pPr>
            <w:r>
              <w:t>£</w:t>
            </w:r>
            <w:r w:rsidR="0067291D">
              <w:t>127.97</w:t>
            </w:r>
          </w:p>
        </w:tc>
        <w:tc>
          <w:tcPr>
            <w:tcW w:w="2835" w:type="dxa"/>
            <w:vAlign w:val="center"/>
          </w:tcPr>
          <w:p w14:paraId="374F6512" w14:textId="67DDDEF3" w:rsidR="002E04B2" w:rsidRDefault="00447AEE" w:rsidP="00590AEA">
            <w:pPr>
              <w:jc w:val="center"/>
            </w:pPr>
            <w:r>
              <w:t>£</w:t>
            </w:r>
            <w:r w:rsidR="00E9788B">
              <w:t>51.57</w:t>
            </w:r>
          </w:p>
        </w:tc>
      </w:tr>
      <w:tr w:rsidR="002E04B2" w14:paraId="332AE8C3" w14:textId="77777777" w:rsidTr="00447AEE">
        <w:trPr>
          <w:trHeight w:val="510"/>
        </w:trPr>
        <w:tc>
          <w:tcPr>
            <w:tcW w:w="2835" w:type="dxa"/>
            <w:vAlign w:val="center"/>
          </w:tcPr>
          <w:p w14:paraId="22C9F6EC" w14:textId="2DFA9BC1" w:rsidR="002E04B2" w:rsidRDefault="00447AEE" w:rsidP="00447AEE">
            <w:r>
              <w:t>25/28</w:t>
            </w:r>
          </w:p>
        </w:tc>
        <w:tc>
          <w:tcPr>
            <w:tcW w:w="2835" w:type="dxa"/>
            <w:vAlign w:val="center"/>
          </w:tcPr>
          <w:p w14:paraId="39128D2F" w14:textId="2EC5E5B7" w:rsidR="002E04B2" w:rsidRDefault="00447AEE" w:rsidP="00447AEE">
            <w:pPr>
              <w:jc w:val="center"/>
            </w:pPr>
            <w:r>
              <w:t>1.00</w:t>
            </w:r>
          </w:p>
        </w:tc>
        <w:tc>
          <w:tcPr>
            <w:tcW w:w="2835" w:type="dxa"/>
            <w:vAlign w:val="center"/>
          </w:tcPr>
          <w:p w14:paraId="17BF0890" w14:textId="6EF2DAD0" w:rsidR="002E04B2" w:rsidRDefault="00447AEE" w:rsidP="00590AEA">
            <w:pPr>
              <w:jc w:val="center"/>
            </w:pPr>
            <w:r>
              <w:t>£</w:t>
            </w:r>
            <w:r w:rsidR="0067291D">
              <w:t>228.79</w:t>
            </w:r>
          </w:p>
        </w:tc>
        <w:tc>
          <w:tcPr>
            <w:tcW w:w="2835" w:type="dxa"/>
            <w:vAlign w:val="center"/>
          </w:tcPr>
          <w:p w14:paraId="16B8308A" w14:textId="565E20EE" w:rsidR="002E04B2" w:rsidRDefault="00447AEE" w:rsidP="00590AEA">
            <w:pPr>
              <w:jc w:val="center"/>
            </w:pPr>
            <w:r>
              <w:t>£</w:t>
            </w:r>
            <w:r w:rsidR="00E9788B">
              <w:t>92.35</w:t>
            </w:r>
          </w:p>
        </w:tc>
      </w:tr>
      <w:tr w:rsidR="002E04B2" w14:paraId="25655485" w14:textId="77777777" w:rsidTr="00447AEE">
        <w:trPr>
          <w:trHeight w:val="510"/>
        </w:trPr>
        <w:tc>
          <w:tcPr>
            <w:tcW w:w="2835" w:type="dxa"/>
            <w:vAlign w:val="center"/>
          </w:tcPr>
          <w:p w14:paraId="10305763" w14:textId="6799EB64" w:rsidR="002E04B2" w:rsidRDefault="00447AEE" w:rsidP="00447AEE">
            <w:r>
              <w:t>30/32/35</w:t>
            </w:r>
          </w:p>
        </w:tc>
        <w:tc>
          <w:tcPr>
            <w:tcW w:w="2835" w:type="dxa"/>
            <w:vAlign w:val="center"/>
          </w:tcPr>
          <w:p w14:paraId="29951C93" w14:textId="4D5B944B" w:rsidR="002E04B2" w:rsidRDefault="00447AEE" w:rsidP="00447AEE">
            <w:pPr>
              <w:jc w:val="center"/>
            </w:pPr>
            <w:r>
              <w:t>1.25</w:t>
            </w:r>
          </w:p>
        </w:tc>
        <w:tc>
          <w:tcPr>
            <w:tcW w:w="2835" w:type="dxa"/>
            <w:vAlign w:val="center"/>
          </w:tcPr>
          <w:p w14:paraId="5876024D" w14:textId="4BCEC7C3" w:rsidR="002E04B2" w:rsidRDefault="00447AEE" w:rsidP="00590AEA">
            <w:pPr>
              <w:jc w:val="center"/>
            </w:pPr>
            <w:r>
              <w:t>£</w:t>
            </w:r>
            <w:r w:rsidR="0067291D">
              <w:t>356.78</w:t>
            </w:r>
          </w:p>
        </w:tc>
        <w:tc>
          <w:tcPr>
            <w:tcW w:w="2835" w:type="dxa"/>
            <w:vAlign w:val="center"/>
          </w:tcPr>
          <w:p w14:paraId="42432814" w14:textId="29AEC815" w:rsidR="002E04B2" w:rsidRDefault="00447AEE" w:rsidP="00590AEA">
            <w:pPr>
              <w:jc w:val="center"/>
            </w:pPr>
            <w:r>
              <w:t>£</w:t>
            </w:r>
            <w:r w:rsidR="00E9788B">
              <w:t>143.93</w:t>
            </w:r>
          </w:p>
        </w:tc>
      </w:tr>
      <w:tr w:rsidR="002E04B2" w14:paraId="1B9CCBE1" w14:textId="77777777" w:rsidTr="00447AEE">
        <w:trPr>
          <w:trHeight w:val="510"/>
        </w:trPr>
        <w:tc>
          <w:tcPr>
            <w:tcW w:w="2835" w:type="dxa"/>
            <w:vAlign w:val="center"/>
          </w:tcPr>
          <w:p w14:paraId="5147142E" w14:textId="06FA9529" w:rsidR="002E04B2" w:rsidRDefault="00447AEE" w:rsidP="00447AEE">
            <w:r>
              <w:t>40/42</w:t>
            </w:r>
          </w:p>
        </w:tc>
        <w:tc>
          <w:tcPr>
            <w:tcW w:w="2835" w:type="dxa"/>
            <w:vAlign w:val="center"/>
          </w:tcPr>
          <w:p w14:paraId="2EDDFAFC" w14:textId="6AA0FD92" w:rsidR="002E04B2" w:rsidRDefault="00447AEE" w:rsidP="00447AEE">
            <w:pPr>
              <w:jc w:val="center"/>
            </w:pPr>
            <w:r>
              <w:t>1.50</w:t>
            </w:r>
          </w:p>
        </w:tc>
        <w:tc>
          <w:tcPr>
            <w:tcW w:w="2835" w:type="dxa"/>
            <w:vAlign w:val="center"/>
          </w:tcPr>
          <w:p w14:paraId="14F259F6" w14:textId="7EE27117" w:rsidR="002E04B2" w:rsidRDefault="00447AEE" w:rsidP="00590AEA">
            <w:pPr>
              <w:jc w:val="center"/>
            </w:pPr>
            <w:r>
              <w:t>£</w:t>
            </w:r>
            <w:r w:rsidR="00AC0488">
              <w:t>513.31</w:t>
            </w:r>
          </w:p>
        </w:tc>
        <w:tc>
          <w:tcPr>
            <w:tcW w:w="2835" w:type="dxa"/>
            <w:vAlign w:val="center"/>
          </w:tcPr>
          <w:p w14:paraId="3071DFA0" w14:textId="29F3EBF0" w:rsidR="002E04B2" w:rsidRDefault="00447AEE" w:rsidP="00590AEA">
            <w:pPr>
              <w:jc w:val="center"/>
            </w:pPr>
            <w:r>
              <w:t>£</w:t>
            </w:r>
            <w:r w:rsidR="00E9788B">
              <w:t>206.30</w:t>
            </w:r>
          </w:p>
        </w:tc>
      </w:tr>
      <w:tr w:rsidR="002E04B2" w14:paraId="132FAD86" w14:textId="77777777" w:rsidTr="00447AEE">
        <w:trPr>
          <w:trHeight w:val="510"/>
        </w:trPr>
        <w:tc>
          <w:tcPr>
            <w:tcW w:w="2835" w:type="dxa"/>
            <w:vAlign w:val="center"/>
          </w:tcPr>
          <w:p w14:paraId="6946268A" w14:textId="4A7FA85A" w:rsidR="002E04B2" w:rsidRDefault="00447AEE" w:rsidP="00447AEE">
            <w:r>
              <w:t>50/54</w:t>
            </w:r>
          </w:p>
        </w:tc>
        <w:tc>
          <w:tcPr>
            <w:tcW w:w="2835" w:type="dxa"/>
            <w:vAlign w:val="center"/>
          </w:tcPr>
          <w:p w14:paraId="434177FD" w14:textId="31B1104A" w:rsidR="002E04B2" w:rsidRDefault="00447AEE" w:rsidP="00447AEE">
            <w:pPr>
              <w:jc w:val="center"/>
            </w:pPr>
            <w:r>
              <w:t>2.00</w:t>
            </w:r>
          </w:p>
        </w:tc>
        <w:tc>
          <w:tcPr>
            <w:tcW w:w="2835" w:type="dxa"/>
            <w:vAlign w:val="center"/>
          </w:tcPr>
          <w:p w14:paraId="41A5086A" w14:textId="6664C1EE" w:rsidR="002E04B2" w:rsidRDefault="00447AEE" w:rsidP="00590AEA">
            <w:pPr>
              <w:jc w:val="center"/>
            </w:pPr>
            <w:r>
              <w:t>£</w:t>
            </w:r>
            <w:r w:rsidR="00AC0488">
              <w:t>911.42</w:t>
            </w:r>
          </w:p>
        </w:tc>
        <w:tc>
          <w:tcPr>
            <w:tcW w:w="2835" w:type="dxa"/>
            <w:vAlign w:val="center"/>
          </w:tcPr>
          <w:p w14:paraId="7340ACBC" w14:textId="09505800" w:rsidR="002E04B2" w:rsidRDefault="00447AEE" w:rsidP="00590AEA">
            <w:pPr>
              <w:jc w:val="center"/>
            </w:pPr>
            <w:r>
              <w:t>£</w:t>
            </w:r>
            <w:r w:rsidR="00F113D8">
              <w:t>367.03</w:t>
            </w:r>
          </w:p>
        </w:tc>
      </w:tr>
      <w:tr w:rsidR="002E04B2" w14:paraId="273E24FA" w14:textId="77777777" w:rsidTr="00447AEE">
        <w:trPr>
          <w:trHeight w:val="510"/>
        </w:trPr>
        <w:tc>
          <w:tcPr>
            <w:tcW w:w="2835" w:type="dxa"/>
            <w:vAlign w:val="center"/>
          </w:tcPr>
          <w:p w14:paraId="27209FA9" w14:textId="4398B875" w:rsidR="00447AEE" w:rsidRDefault="00447AEE" w:rsidP="00447AEE">
            <w:r>
              <w:t>65</w:t>
            </w:r>
          </w:p>
        </w:tc>
        <w:tc>
          <w:tcPr>
            <w:tcW w:w="2835" w:type="dxa"/>
            <w:vAlign w:val="center"/>
          </w:tcPr>
          <w:p w14:paraId="2999CFCB" w14:textId="2840FB45" w:rsidR="002E04B2" w:rsidRDefault="00447AEE" w:rsidP="00447AEE">
            <w:pPr>
              <w:jc w:val="center"/>
            </w:pPr>
            <w:r>
              <w:t>2.50</w:t>
            </w:r>
          </w:p>
        </w:tc>
        <w:tc>
          <w:tcPr>
            <w:tcW w:w="2835" w:type="dxa"/>
            <w:vAlign w:val="center"/>
          </w:tcPr>
          <w:p w14:paraId="0CC55778" w14:textId="2575C974" w:rsidR="002E04B2" w:rsidRDefault="00447AEE" w:rsidP="00590AEA">
            <w:pPr>
              <w:jc w:val="center"/>
            </w:pPr>
            <w:r>
              <w:t>£</w:t>
            </w:r>
            <w:r w:rsidR="00AC0488">
              <w:t>1425.90</w:t>
            </w:r>
          </w:p>
        </w:tc>
        <w:tc>
          <w:tcPr>
            <w:tcW w:w="2835" w:type="dxa"/>
            <w:vAlign w:val="center"/>
          </w:tcPr>
          <w:p w14:paraId="09B95D54" w14:textId="4D9BDCE0" w:rsidR="002E04B2" w:rsidRDefault="00447AEE" w:rsidP="00590AEA">
            <w:pPr>
              <w:jc w:val="center"/>
            </w:pPr>
            <w:r>
              <w:t>£</w:t>
            </w:r>
            <w:r w:rsidR="00F113D8">
              <w:t>574.54</w:t>
            </w:r>
          </w:p>
        </w:tc>
      </w:tr>
      <w:tr w:rsidR="002E04B2" w14:paraId="0E48CBB4" w14:textId="77777777" w:rsidTr="00447AEE">
        <w:trPr>
          <w:trHeight w:val="510"/>
        </w:trPr>
        <w:tc>
          <w:tcPr>
            <w:tcW w:w="2835" w:type="dxa"/>
            <w:vAlign w:val="center"/>
          </w:tcPr>
          <w:p w14:paraId="161D4CE9" w14:textId="52FEE225" w:rsidR="002E04B2" w:rsidRDefault="00447AEE" w:rsidP="00447AEE">
            <w:r>
              <w:t>75/80</w:t>
            </w:r>
          </w:p>
        </w:tc>
        <w:tc>
          <w:tcPr>
            <w:tcW w:w="2835" w:type="dxa"/>
            <w:vAlign w:val="center"/>
          </w:tcPr>
          <w:p w14:paraId="7D1C420F" w14:textId="72E1122B" w:rsidR="002E04B2" w:rsidRDefault="00447AEE" w:rsidP="00447AEE">
            <w:pPr>
              <w:jc w:val="center"/>
            </w:pPr>
            <w:r>
              <w:t>3.00</w:t>
            </w:r>
          </w:p>
        </w:tc>
        <w:tc>
          <w:tcPr>
            <w:tcW w:w="2835" w:type="dxa"/>
            <w:vAlign w:val="center"/>
          </w:tcPr>
          <w:p w14:paraId="401F3B3A" w14:textId="723A4168" w:rsidR="002E04B2" w:rsidRDefault="00447AEE" w:rsidP="00590AEA">
            <w:pPr>
              <w:jc w:val="center"/>
            </w:pPr>
            <w:r>
              <w:t>£</w:t>
            </w:r>
            <w:r w:rsidR="00AC0488">
              <w:t>2051.63</w:t>
            </w:r>
          </w:p>
        </w:tc>
        <w:tc>
          <w:tcPr>
            <w:tcW w:w="2835" w:type="dxa"/>
            <w:vAlign w:val="center"/>
          </w:tcPr>
          <w:p w14:paraId="092FEAA1" w14:textId="425B69F8" w:rsidR="002E04B2" w:rsidRDefault="00447AEE" w:rsidP="00590AEA">
            <w:pPr>
              <w:jc w:val="center"/>
            </w:pPr>
            <w:r>
              <w:t>£</w:t>
            </w:r>
            <w:r w:rsidR="00F113D8">
              <w:t>826.42</w:t>
            </w:r>
          </w:p>
        </w:tc>
      </w:tr>
      <w:tr w:rsidR="002E04B2" w14:paraId="7A13A07D" w14:textId="77777777" w:rsidTr="00447AEE">
        <w:trPr>
          <w:trHeight w:val="510"/>
        </w:trPr>
        <w:tc>
          <w:tcPr>
            <w:tcW w:w="2835" w:type="dxa"/>
            <w:vAlign w:val="center"/>
          </w:tcPr>
          <w:p w14:paraId="19BB681F" w14:textId="6B61338B" w:rsidR="002E04B2" w:rsidRDefault="00447AEE" w:rsidP="00447AEE">
            <w:r>
              <w:t>100</w:t>
            </w:r>
          </w:p>
        </w:tc>
        <w:tc>
          <w:tcPr>
            <w:tcW w:w="2835" w:type="dxa"/>
            <w:vAlign w:val="center"/>
          </w:tcPr>
          <w:p w14:paraId="45963BC9" w14:textId="727C9ADC" w:rsidR="002E04B2" w:rsidRDefault="00447AEE" w:rsidP="00447AEE">
            <w:pPr>
              <w:jc w:val="center"/>
            </w:pPr>
            <w:r>
              <w:t>4.00</w:t>
            </w:r>
          </w:p>
        </w:tc>
        <w:tc>
          <w:tcPr>
            <w:tcW w:w="2835" w:type="dxa"/>
            <w:vAlign w:val="center"/>
          </w:tcPr>
          <w:p w14:paraId="2F8075A6" w14:textId="02FFF9D2" w:rsidR="002E04B2" w:rsidRDefault="00447AEE" w:rsidP="00590AEA">
            <w:pPr>
              <w:jc w:val="center"/>
            </w:pPr>
            <w:r>
              <w:t>£</w:t>
            </w:r>
            <w:r w:rsidR="00D776B8">
              <w:t>3648.24</w:t>
            </w:r>
          </w:p>
        </w:tc>
        <w:tc>
          <w:tcPr>
            <w:tcW w:w="2835" w:type="dxa"/>
            <w:vAlign w:val="center"/>
          </w:tcPr>
          <w:p w14:paraId="6E2E1CCC" w14:textId="17077951" w:rsidR="002E04B2" w:rsidRDefault="00447AEE" w:rsidP="00590AEA">
            <w:pPr>
              <w:jc w:val="center"/>
            </w:pPr>
            <w:r>
              <w:t>£</w:t>
            </w:r>
            <w:r w:rsidR="00F113D8">
              <w:t>1469.31</w:t>
            </w:r>
          </w:p>
        </w:tc>
      </w:tr>
      <w:tr w:rsidR="002E04B2" w14:paraId="06B707E1" w14:textId="77777777" w:rsidTr="00447AEE">
        <w:trPr>
          <w:trHeight w:val="510"/>
        </w:trPr>
        <w:tc>
          <w:tcPr>
            <w:tcW w:w="2835" w:type="dxa"/>
            <w:vAlign w:val="center"/>
          </w:tcPr>
          <w:p w14:paraId="5E00C848" w14:textId="607541ED" w:rsidR="002E04B2" w:rsidRDefault="00447AEE" w:rsidP="00447AEE">
            <w:r>
              <w:t>125</w:t>
            </w:r>
          </w:p>
        </w:tc>
        <w:tc>
          <w:tcPr>
            <w:tcW w:w="2835" w:type="dxa"/>
            <w:vAlign w:val="center"/>
          </w:tcPr>
          <w:p w14:paraId="5F104925" w14:textId="6B0951BA" w:rsidR="002E04B2" w:rsidRDefault="00447AEE" w:rsidP="00447AEE">
            <w:pPr>
              <w:jc w:val="center"/>
            </w:pPr>
            <w:r>
              <w:t>5.00</w:t>
            </w:r>
          </w:p>
        </w:tc>
        <w:tc>
          <w:tcPr>
            <w:tcW w:w="2835" w:type="dxa"/>
            <w:vAlign w:val="center"/>
          </w:tcPr>
          <w:p w14:paraId="0ED30C3A" w14:textId="5CFD6A08" w:rsidR="002E04B2" w:rsidRDefault="00447AEE" w:rsidP="00590AEA">
            <w:pPr>
              <w:jc w:val="center"/>
            </w:pPr>
            <w:r>
              <w:t>£</w:t>
            </w:r>
            <w:r w:rsidR="00D776B8">
              <w:t>5699.89</w:t>
            </w:r>
          </w:p>
        </w:tc>
        <w:tc>
          <w:tcPr>
            <w:tcW w:w="2835" w:type="dxa"/>
            <w:vAlign w:val="center"/>
          </w:tcPr>
          <w:p w14:paraId="5188C33E" w14:textId="34CC93CE" w:rsidR="002E04B2" w:rsidRDefault="00447AEE" w:rsidP="00590AEA">
            <w:pPr>
              <w:jc w:val="center"/>
            </w:pPr>
            <w:r>
              <w:t>£</w:t>
            </w:r>
            <w:r w:rsidR="00BF290F">
              <w:t>2295.75</w:t>
            </w:r>
          </w:p>
        </w:tc>
      </w:tr>
      <w:tr w:rsidR="002E04B2" w14:paraId="26497B5A" w14:textId="77777777" w:rsidTr="00447AEE">
        <w:trPr>
          <w:trHeight w:val="510"/>
        </w:trPr>
        <w:tc>
          <w:tcPr>
            <w:tcW w:w="2835" w:type="dxa"/>
            <w:vAlign w:val="center"/>
          </w:tcPr>
          <w:p w14:paraId="36B5FADC" w14:textId="08503795" w:rsidR="002E04B2" w:rsidRDefault="00447AEE" w:rsidP="00447AEE">
            <w:r>
              <w:t>150</w:t>
            </w:r>
          </w:p>
        </w:tc>
        <w:tc>
          <w:tcPr>
            <w:tcW w:w="2835" w:type="dxa"/>
            <w:vAlign w:val="center"/>
          </w:tcPr>
          <w:p w14:paraId="7E65A5A1" w14:textId="2454A1B8" w:rsidR="002E04B2" w:rsidRDefault="00447AEE" w:rsidP="00447AEE">
            <w:pPr>
              <w:jc w:val="center"/>
            </w:pPr>
            <w:r>
              <w:t>6.00</w:t>
            </w:r>
          </w:p>
        </w:tc>
        <w:tc>
          <w:tcPr>
            <w:tcW w:w="2835" w:type="dxa"/>
            <w:vAlign w:val="center"/>
          </w:tcPr>
          <w:p w14:paraId="1C901E48" w14:textId="0E3AAF08" w:rsidR="002E04B2" w:rsidRDefault="00447AEE" w:rsidP="00590AEA">
            <w:pPr>
              <w:jc w:val="center"/>
            </w:pPr>
            <w:r>
              <w:t>£</w:t>
            </w:r>
            <w:r w:rsidR="00D776B8">
              <w:t>8207.90</w:t>
            </w:r>
          </w:p>
        </w:tc>
        <w:tc>
          <w:tcPr>
            <w:tcW w:w="2835" w:type="dxa"/>
            <w:vAlign w:val="center"/>
          </w:tcPr>
          <w:p w14:paraId="5FE66F52" w14:textId="259CD354" w:rsidR="002E04B2" w:rsidRDefault="00447AEE" w:rsidP="00590AEA">
            <w:pPr>
              <w:jc w:val="center"/>
            </w:pPr>
            <w:r>
              <w:t>£</w:t>
            </w:r>
            <w:r w:rsidR="00BF290F">
              <w:t>3</w:t>
            </w:r>
            <w:r w:rsidR="002039A2">
              <w:t>,</w:t>
            </w:r>
            <w:r w:rsidR="00BF290F">
              <w:t>305.65</w:t>
            </w:r>
          </w:p>
        </w:tc>
      </w:tr>
      <w:tr w:rsidR="002E04B2" w14:paraId="16185B09" w14:textId="77777777" w:rsidTr="00447AEE">
        <w:trPr>
          <w:trHeight w:val="510"/>
        </w:trPr>
        <w:tc>
          <w:tcPr>
            <w:tcW w:w="2835" w:type="dxa"/>
            <w:vAlign w:val="center"/>
          </w:tcPr>
          <w:p w14:paraId="6C0DE803" w14:textId="6A9CBB92" w:rsidR="002E04B2" w:rsidRDefault="00447AEE" w:rsidP="00447AEE">
            <w:r>
              <w:t>200</w:t>
            </w:r>
          </w:p>
        </w:tc>
        <w:tc>
          <w:tcPr>
            <w:tcW w:w="2835" w:type="dxa"/>
            <w:vAlign w:val="center"/>
          </w:tcPr>
          <w:p w14:paraId="6C8A9D65" w14:textId="63C5CA69" w:rsidR="002E04B2" w:rsidRDefault="00447AEE" w:rsidP="00447AEE">
            <w:pPr>
              <w:jc w:val="center"/>
            </w:pPr>
            <w:r>
              <w:t>8.00</w:t>
            </w:r>
          </w:p>
        </w:tc>
        <w:tc>
          <w:tcPr>
            <w:tcW w:w="2835" w:type="dxa"/>
            <w:vAlign w:val="center"/>
          </w:tcPr>
          <w:p w14:paraId="1CC51185" w14:textId="111E40B7" w:rsidR="002E04B2" w:rsidRDefault="00447AEE" w:rsidP="00590AEA">
            <w:pPr>
              <w:jc w:val="center"/>
            </w:pPr>
            <w:r>
              <w:t>£</w:t>
            </w:r>
            <w:r w:rsidR="00002469">
              <w:t>14,591.58</w:t>
            </w:r>
          </w:p>
        </w:tc>
        <w:tc>
          <w:tcPr>
            <w:tcW w:w="2835" w:type="dxa"/>
            <w:vAlign w:val="center"/>
          </w:tcPr>
          <w:p w14:paraId="4F3DEF76" w14:textId="654BBCF4" w:rsidR="002E04B2" w:rsidRDefault="00447AEE" w:rsidP="00590AEA">
            <w:pPr>
              <w:jc w:val="center"/>
            </w:pPr>
            <w:r>
              <w:t>£</w:t>
            </w:r>
            <w:r w:rsidR="00BF290F">
              <w:t>5</w:t>
            </w:r>
            <w:r w:rsidR="002039A2">
              <w:t>,</w:t>
            </w:r>
            <w:r w:rsidR="00BF290F">
              <w:t>877.26</w:t>
            </w:r>
          </w:p>
        </w:tc>
      </w:tr>
      <w:tr w:rsidR="002E04B2" w14:paraId="0AD2D615" w14:textId="77777777" w:rsidTr="00447AEE">
        <w:trPr>
          <w:trHeight w:val="510"/>
        </w:trPr>
        <w:tc>
          <w:tcPr>
            <w:tcW w:w="2835" w:type="dxa"/>
            <w:vAlign w:val="center"/>
          </w:tcPr>
          <w:p w14:paraId="0506EB46" w14:textId="57C59E06" w:rsidR="002E04B2" w:rsidRDefault="00447AEE" w:rsidP="00447AEE">
            <w:r>
              <w:t>250</w:t>
            </w:r>
          </w:p>
        </w:tc>
        <w:tc>
          <w:tcPr>
            <w:tcW w:w="2835" w:type="dxa"/>
            <w:vAlign w:val="center"/>
          </w:tcPr>
          <w:p w14:paraId="757C9359" w14:textId="08AC9F34" w:rsidR="00447AEE" w:rsidRDefault="00447AEE" w:rsidP="00447AEE">
            <w:pPr>
              <w:jc w:val="center"/>
            </w:pPr>
            <w:r>
              <w:t>10.00</w:t>
            </w:r>
          </w:p>
        </w:tc>
        <w:tc>
          <w:tcPr>
            <w:tcW w:w="2835" w:type="dxa"/>
            <w:vAlign w:val="center"/>
          </w:tcPr>
          <w:p w14:paraId="419ED900" w14:textId="29757ABC" w:rsidR="002E04B2" w:rsidRDefault="00447AEE" w:rsidP="00590AEA">
            <w:pPr>
              <w:jc w:val="center"/>
            </w:pPr>
            <w:r>
              <w:t>£</w:t>
            </w:r>
            <w:r w:rsidR="00002469">
              <w:t>22,798.12</w:t>
            </w:r>
          </w:p>
        </w:tc>
        <w:tc>
          <w:tcPr>
            <w:tcW w:w="2835" w:type="dxa"/>
            <w:vAlign w:val="center"/>
          </w:tcPr>
          <w:p w14:paraId="05F7B476" w14:textId="36AB50E9" w:rsidR="002E04B2" w:rsidRDefault="00447AEE" w:rsidP="00590AEA">
            <w:pPr>
              <w:jc w:val="center"/>
            </w:pPr>
            <w:r>
              <w:t>£</w:t>
            </w:r>
            <w:r w:rsidR="002039A2">
              <w:t>9,182.92</w:t>
            </w:r>
          </w:p>
        </w:tc>
      </w:tr>
      <w:tr w:rsidR="002E04B2" w14:paraId="1E4D8747" w14:textId="77777777" w:rsidTr="00447AEE">
        <w:trPr>
          <w:trHeight w:val="510"/>
        </w:trPr>
        <w:tc>
          <w:tcPr>
            <w:tcW w:w="2835" w:type="dxa"/>
            <w:vAlign w:val="center"/>
          </w:tcPr>
          <w:p w14:paraId="556B947B" w14:textId="4E09EF18" w:rsidR="002E04B2" w:rsidRDefault="00447AEE" w:rsidP="00447AEE">
            <w:r>
              <w:t>300</w:t>
            </w:r>
          </w:p>
        </w:tc>
        <w:tc>
          <w:tcPr>
            <w:tcW w:w="2835" w:type="dxa"/>
            <w:vAlign w:val="center"/>
          </w:tcPr>
          <w:p w14:paraId="1B2C1D02" w14:textId="51BECB4B" w:rsidR="002E04B2" w:rsidRDefault="00447AEE" w:rsidP="00447AEE">
            <w:pPr>
              <w:jc w:val="center"/>
            </w:pPr>
            <w:r>
              <w:t>12.00</w:t>
            </w:r>
          </w:p>
        </w:tc>
        <w:tc>
          <w:tcPr>
            <w:tcW w:w="2835" w:type="dxa"/>
            <w:vAlign w:val="center"/>
          </w:tcPr>
          <w:p w14:paraId="6B265007" w14:textId="7309047C" w:rsidR="002E04B2" w:rsidRDefault="00447AEE" w:rsidP="00590AEA">
            <w:pPr>
              <w:jc w:val="center"/>
            </w:pPr>
            <w:r>
              <w:t>£</w:t>
            </w:r>
            <w:r w:rsidR="00002469">
              <w:t>32,830</w:t>
            </w:r>
            <w:r w:rsidR="00E9788B">
              <w:t>.02</w:t>
            </w:r>
          </w:p>
        </w:tc>
        <w:tc>
          <w:tcPr>
            <w:tcW w:w="2835" w:type="dxa"/>
            <w:vAlign w:val="center"/>
          </w:tcPr>
          <w:p w14:paraId="37D916D4" w14:textId="0FAE8EDC" w:rsidR="002E04B2" w:rsidRDefault="00447AEE" w:rsidP="00590AEA">
            <w:pPr>
              <w:jc w:val="center"/>
            </w:pPr>
            <w:r>
              <w:t>£</w:t>
            </w:r>
            <w:r w:rsidR="002039A2">
              <w:t>13,223.82</w:t>
            </w:r>
          </w:p>
        </w:tc>
      </w:tr>
    </w:tbl>
    <w:p w14:paraId="45D7DB97" w14:textId="77777777" w:rsidR="00EF374B" w:rsidRDefault="00EF374B" w:rsidP="00632D7B">
      <w:pPr>
        <w:rPr>
          <w:rFonts w:ascii="Arial" w:hAnsi="Arial" w:cs="Arial"/>
        </w:rPr>
      </w:pPr>
    </w:p>
    <w:p w14:paraId="49AD62BA" w14:textId="39B18987" w:rsidR="00EF374B" w:rsidRPr="00B967D2" w:rsidRDefault="00B967D2" w:rsidP="00632D7B">
      <w:pPr>
        <w:rPr>
          <w:rFonts w:ascii="Arial" w:hAnsi="Arial" w:cs="Arial"/>
        </w:rPr>
      </w:pPr>
      <w:r w:rsidRPr="00B967D2">
        <w:rPr>
          <w:rFonts w:ascii="Arial" w:hAnsi="Arial" w:cs="Arial"/>
        </w:rPr>
        <w:t>* Where a single household premises does not discharge surface water to our sewers, they can claim a rebate of £</w:t>
      </w:r>
      <w:r w:rsidR="00F84426">
        <w:rPr>
          <w:rFonts w:ascii="Arial" w:hAnsi="Arial" w:cs="Arial"/>
        </w:rPr>
        <w:t>32.46</w:t>
      </w:r>
      <w:r w:rsidRPr="00B967D2">
        <w:rPr>
          <w:rFonts w:ascii="Arial" w:hAnsi="Arial" w:cs="Arial"/>
        </w:rPr>
        <w:t xml:space="preserve">. Where there are </w:t>
      </w:r>
      <w:proofErr w:type="gramStart"/>
      <w:r w:rsidRPr="00B967D2">
        <w:rPr>
          <w:rFonts w:ascii="Arial" w:hAnsi="Arial" w:cs="Arial"/>
        </w:rPr>
        <w:t>a number of</w:t>
      </w:r>
      <w:proofErr w:type="gramEnd"/>
      <w:r w:rsidRPr="00B967D2">
        <w:rPr>
          <w:rFonts w:ascii="Arial" w:hAnsi="Arial" w:cs="Arial"/>
        </w:rPr>
        <w:t xml:space="preserve"> households in a block and the charges for the block are paid by reference to a bulk meter by a managing agent or landlord, the fixed charge and any surface water drainage rebate that may apply will be based on pipe size and calculated by reference to the figures under “Bulk metered households” above.</w:t>
      </w:r>
    </w:p>
    <w:p w14:paraId="477F618F" w14:textId="7CCE7ABF" w:rsidR="00B967D2" w:rsidRDefault="00B967D2" w:rsidP="00632D7B"/>
    <w:p w14:paraId="1847DC63" w14:textId="77777777" w:rsidR="00B967D2" w:rsidRDefault="00B967D2" w:rsidP="00632D7B">
      <w:pPr>
        <w:rPr>
          <w:rFonts w:ascii="Arial" w:hAnsi="Arial" w:cs="Arial"/>
        </w:rPr>
      </w:pPr>
    </w:p>
    <w:p w14:paraId="5117BA90" w14:textId="77777777" w:rsidR="00C72818" w:rsidRDefault="00C72818" w:rsidP="00632D7B">
      <w:pPr>
        <w:rPr>
          <w:rFonts w:ascii="Arial" w:hAnsi="Arial" w:cs="Arial"/>
        </w:rPr>
      </w:pPr>
    </w:p>
    <w:p w14:paraId="249453E6" w14:textId="30EE2EB4" w:rsidR="008667A7" w:rsidRDefault="008667A7" w:rsidP="00632D7B">
      <w:r>
        <w:rPr>
          <w:rFonts w:ascii="Arial" w:hAnsi="Arial" w:cs="Arial"/>
          <w:b/>
          <w:noProof/>
          <w:sz w:val="24"/>
          <w:lang w:eastAsia="en-GB"/>
        </w:rPr>
        <w:lastRenderedPageBreak/>
        <mc:AlternateContent>
          <mc:Choice Requires="wps">
            <w:drawing>
              <wp:anchor distT="0" distB="0" distL="114300" distR="114300" simplePos="0" relativeHeight="251700224" behindDoc="0" locked="0" layoutInCell="1" allowOverlap="1" wp14:anchorId="29444927" wp14:editId="313E83B0">
                <wp:simplePos x="0" y="0"/>
                <wp:positionH relativeFrom="column">
                  <wp:posOffset>-850265</wp:posOffset>
                </wp:positionH>
                <wp:positionV relativeFrom="paragraph">
                  <wp:posOffset>47487</wp:posOffset>
                </wp:positionV>
                <wp:extent cx="7418070" cy="361666"/>
                <wp:effectExtent l="0" t="0" r="0" b="635"/>
                <wp:wrapNone/>
                <wp:docPr id="2" name="Text Box 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5C51E3A" w14:textId="2993A3F8" w:rsidR="007A7A0C" w:rsidRPr="004616F3" w:rsidRDefault="007A7A0C" w:rsidP="008667A7">
                            <w:pPr>
                              <w:pStyle w:val="NoSpacing"/>
                              <w:rPr>
                                <w:rFonts w:ascii="Arial" w:hAnsi="Arial" w:cs="Arial"/>
                                <w:color w:val="FFFFFF" w:themeColor="background1"/>
                                <w:sz w:val="32"/>
                              </w:rPr>
                            </w:pPr>
                            <w:r>
                              <w:rPr>
                                <w:rFonts w:ascii="Arial" w:hAnsi="Arial" w:cs="Arial"/>
                                <w:color w:val="FFFFFF" w:themeColor="background1"/>
                                <w:sz w:val="32"/>
                              </w:rPr>
                              <w:t xml:space="preserve">B.1.2 Volumetric charges </w:t>
                            </w:r>
                            <w:r w:rsidRPr="00C72818">
                              <w:rPr>
                                <w:rFonts w:ascii="Arial" w:hAnsi="Arial" w:cs="Arial"/>
                                <w:color w:val="FFFFFF" w:themeColor="background1"/>
                                <w:sz w:val="32"/>
                              </w:rPr>
                              <w:t>(All rates in p/m</w:t>
                            </w:r>
                            <w:proofErr w:type="gramStart"/>
                            <w:r w:rsidRPr="00C72818">
                              <w:rPr>
                                <w:rFonts w:ascii="Arial" w:hAnsi="Arial" w:cs="Arial"/>
                                <w:color w:val="FFFFFF" w:themeColor="background1"/>
                                <w:sz w:val="32"/>
                              </w:rPr>
                              <w:t>3 )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44927" id="Text Box 2" o:spid="_x0000_s1044" type="#_x0000_t202" style="position:absolute;margin-left:-66.95pt;margin-top:3.75pt;width:584.1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" fillcolor="#069" stroked="f" strokeweight=".5pt">
                <v:textbox>
                  <w:txbxContent>
                    <w:p w14:paraId="45C51E3A" w14:textId="2993A3F8" w:rsidR="007A7A0C" w:rsidRPr="004616F3" w:rsidRDefault="007A7A0C" w:rsidP="008667A7">
                      <w:pPr>
                        <w:pStyle w:val="NoSpacing"/>
                        <w:rPr>
                          <w:rFonts w:ascii="Arial" w:hAnsi="Arial" w:cs="Arial"/>
                          <w:color w:val="FFFFFF" w:themeColor="background1"/>
                          <w:sz w:val="32"/>
                        </w:rPr>
                      </w:pPr>
                      <w:r>
                        <w:rPr>
                          <w:rFonts w:ascii="Arial" w:hAnsi="Arial" w:cs="Arial"/>
                          <w:color w:val="FFFFFF" w:themeColor="background1"/>
                          <w:sz w:val="32"/>
                        </w:rPr>
                        <w:t xml:space="preserve">B.1.2 Volumetric charges </w:t>
                      </w:r>
                      <w:r w:rsidRPr="00C72818">
                        <w:rPr>
                          <w:rFonts w:ascii="Arial" w:hAnsi="Arial" w:cs="Arial"/>
                          <w:color w:val="FFFFFF" w:themeColor="background1"/>
                          <w:sz w:val="32"/>
                        </w:rPr>
                        <w:t>(All rates in p/m</w:t>
                      </w:r>
                      <w:proofErr w:type="gramStart"/>
                      <w:r w:rsidRPr="00C72818">
                        <w:rPr>
                          <w:rFonts w:ascii="Arial" w:hAnsi="Arial" w:cs="Arial"/>
                          <w:color w:val="FFFFFF" w:themeColor="background1"/>
                          <w:sz w:val="32"/>
                        </w:rPr>
                        <w:t>3 )</w:t>
                      </w:r>
                      <w:proofErr w:type="gramEnd"/>
                    </w:p>
                  </w:txbxContent>
                </v:textbox>
              </v:shape>
            </w:pict>
          </mc:Fallback>
        </mc:AlternateContent>
      </w:r>
    </w:p>
    <w:p w14:paraId="3C828808" w14:textId="67F89003" w:rsidR="008667A7" w:rsidRPr="008667A7" w:rsidRDefault="008667A7" w:rsidP="008667A7"/>
    <w:tbl>
      <w:tblPr>
        <w:tblStyle w:val="TableGrid"/>
        <w:tblpPr w:leftFromText="180" w:rightFromText="180" w:vertAnchor="text" w:horzAnchor="margin" w:tblpXSpec="center" w:tblpY="5"/>
        <w:tblW w:w="7649" w:type="dxa"/>
        <w:tblLook w:val="04A0" w:firstRow="1" w:lastRow="0" w:firstColumn="1" w:lastColumn="0" w:noHBand="0" w:noVBand="1"/>
      </w:tblPr>
      <w:tblGrid>
        <w:gridCol w:w="3539"/>
        <w:gridCol w:w="4110"/>
      </w:tblGrid>
      <w:tr w:rsidR="00B277D8" w14:paraId="7C4AFC66" w14:textId="77777777" w:rsidTr="00BF57F7">
        <w:trPr>
          <w:trHeight w:val="567"/>
        </w:trPr>
        <w:tc>
          <w:tcPr>
            <w:tcW w:w="7649" w:type="dxa"/>
            <w:gridSpan w:val="2"/>
            <w:shd w:val="clear" w:color="auto" w:fill="006699"/>
            <w:vAlign w:val="center"/>
          </w:tcPr>
          <w:p w14:paraId="5DE6DA21"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Households</w:t>
            </w:r>
          </w:p>
        </w:tc>
      </w:tr>
      <w:tr w:rsidR="00B277D8" w14:paraId="4106BCC2" w14:textId="77777777" w:rsidTr="00BF57F7">
        <w:trPr>
          <w:trHeight w:val="687"/>
        </w:trPr>
        <w:tc>
          <w:tcPr>
            <w:tcW w:w="3539" w:type="dxa"/>
            <w:shd w:val="clear" w:color="auto" w:fill="006699"/>
            <w:vAlign w:val="center"/>
          </w:tcPr>
          <w:p w14:paraId="63C1E225"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Consumption</w:t>
            </w:r>
          </w:p>
        </w:tc>
        <w:tc>
          <w:tcPr>
            <w:tcW w:w="4110" w:type="dxa"/>
            <w:shd w:val="clear" w:color="auto" w:fill="006699"/>
            <w:vAlign w:val="center"/>
          </w:tcPr>
          <w:p w14:paraId="200D807B" w14:textId="77777777" w:rsidR="00B277D8" w:rsidRPr="00747C37" w:rsidRDefault="00B277D8" w:rsidP="00BF57F7">
            <w:pPr>
              <w:jc w:val="center"/>
              <w:rPr>
                <w:rFonts w:ascii="Arial" w:hAnsi="Arial" w:cs="Arial"/>
                <w:b/>
                <w:color w:val="FFFFFF" w:themeColor="background1"/>
              </w:rPr>
            </w:pPr>
            <w:r w:rsidRPr="00747C37">
              <w:rPr>
                <w:rFonts w:ascii="Arial" w:hAnsi="Arial" w:cs="Arial"/>
                <w:b/>
                <w:color w:val="FFFFFF" w:themeColor="background1"/>
              </w:rPr>
              <w:t>Volume Charge (p/m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r>
      <w:tr w:rsidR="00B277D8" w14:paraId="709CA661" w14:textId="77777777" w:rsidTr="00BF57F7">
        <w:trPr>
          <w:trHeight w:val="567"/>
        </w:trPr>
        <w:tc>
          <w:tcPr>
            <w:tcW w:w="3539" w:type="dxa"/>
            <w:vAlign w:val="center"/>
          </w:tcPr>
          <w:p w14:paraId="3A8442A8" w14:textId="239252B9" w:rsidR="00B277D8" w:rsidRPr="00747C37" w:rsidRDefault="00336421" w:rsidP="00BF57F7">
            <w:pPr>
              <w:rPr>
                <w:rFonts w:ascii="Arial" w:hAnsi="Arial" w:cs="Arial"/>
              </w:rPr>
            </w:pPr>
            <w:r>
              <w:rPr>
                <w:rFonts w:ascii="Arial" w:hAnsi="Arial" w:cs="Arial"/>
              </w:rPr>
              <w:t>Waste water</w:t>
            </w:r>
            <w:r w:rsidR="00B277D8" w:rsidRPr="00747C37">
              <w:rPr>
                <w:rFonts w:ascii="Arial" w:hAnsi="Arial" w:cs="Arial"/>
              </w:rPr>
              <w:t xml:space="preserve"> Supply</w:t>
            </w:r>
          </w:p>
        </w:tc>
        <w:tc>
          <w:tcPr>
            <w:tcW w:w="4110" w:type="dxa"/>
            <w:vAlign w:val="center"/>
          </w:tcPr>
          <w:p w14:paraId="7EFDFB3F" w14:textId="3DD45A54" w:rsidR="00B277D8" w:rsidRPr="00747C37" w:rsidRDefault="0026168E" w:rsidP="00BF57F7">
            <w:pPr>
              <w:jc w:val="center"/>
              <w:rPr>
                <w:rFonts w:ascii="Arial" w:hAnsi="Arial" w:cs="Arial"/>
              </w:rPr>
            </w:pPr>
            <w:r>
              <w:rPr>
                <w:rFonts w:ascii="Arial" w:hAnsi="Arial" w:cs="Arial"/>
              </w:rPr>
              <w:t>100.17</w:t>
            </w:r>
            <w:r w:rsidR="00590AEA">
              <w:rPr>
                <w:rFonts w:ascii="Arial" w:hAnsi="Arial" w:cs="Arial"/>
              </w:rPr>
              <w:t xml:space="preserve"> pence</w:t>
            </w:r>
          </w:p>
        </w:tc>
      </w:tr>
      <w:tr w:rsidR="00B277D8" w14:paraId="7096EED7" w14:textId="77777777" w:rsidTr="00BF57F7">
        <w:trPr>
          <w:trHeight w:val="567"/>
        </w:trPr>
        <w:tc>
          <w:tcPr>
            <w:tcW w:w="3539" w:type="dxa"/>
            <w:shd w:val="clear" w:color="auto" w:fill="006699"/>
            <w:vAlign w:val="center"/>
          </w:tcPr>
          <w:p w14:paraId="44A7D93D"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Non-Households</w:t>
            </w:r>
          </w:p>
        </w:tc>
        <w:tc>
          <w:tcPr>
            <w:tcW w:w="4110" w:type="dxa"/>
            <w:shd w:val="clear" w:color="auto" w:fill="006699"/>
            <w:vAlign w:val="center"/>
          </w:tcPr>
          <w:p w14:paraId="7645D8B1" w14:textId="77777777" w:rsidR="00B277D8" w:rsidRPr="00747C37" w:rsidRDefault="00B277D8" w:rsidP="00BF57F7">
            <w:pPr>
              <w:rPr>
                <w:rFonts w:ascii="Arial" w:hAnsi="Arial" w:cs="Arial"/>
                <w:b/>
                <w:color w:val="FFFFFF" w:themeColor="background1"/>
              </w:rPr>
            </w:pPr>
          </w:p>
        </w:tc>
      </w:tr>
      <w:tr w:rsidR="00B277D8" w14:paraId="7B8A3564" w14:textId="77777777" w:rsidTr="00BF57F7">
        <w:trPr>
          <w:trHeight w:val="791"/>
        </w:trPr>
        <w:tc>
          <w:tcPr>
            <w:tcW w:w="3539" w:type="dxa"/>
            <w:shd w:val="clear" w:color="auto" w:fill="006699"/>
            <w:vAlign w:val="center"/>
          </w:tcPr>
          <w:p w14:paraId="6955A7B6"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Consumption (m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c>
          <w:tcPr>
            <w:tcW w:w="4110" w:type="dxa"/>
            <w:shd w:val="clear" w:color="auto" w:fill="006699"/>
            <w:vAlign w:val="center"/>
          </w:tcPr>
          <w:p w14:paraId="160FE9D4" w14:textId="1FDF747C" w:rsidR="00B277D8" w:rsidRPr="00747C37" w:rsidRDefault="00B277D8" w:rsidP="00BF57F7">
            <w:pPr>
              <w:jc w:val="center"/>
              <w:rPr>
                <w:rFonts w:ascii="Arial" w:hAnsi="Arial" w:cs="Arial"/>
                <w:b/>
                <w:color w:val="FFFFFF" w:themeColor="background1"/>
              </w:rPr>
            </w:pPr>
            <w:r w:rsidRPr="00747C37">
              <w:rPr>
                <w:rFonts w:ascii="Arial" w:hAnsi="Arial" w:cs="Arial"/>
                <w:b/>
                <w:color w:val="FFFFFF" w:themeColor="background1"/>
              </w:rPr>
              <w:t xml:space="preserve">Volume Charge </w:t>
            </w:r>
            <w:proofErr w:type="gramStart"/>
            <w:r w:rsidR="00336421">
              <w:rPr>
                <w:rFonts w:ascii="Arial" w:hAnsi="Arial" w:cs="Arial"/>
                <w:b/>
                <w:color w:val="FFFFFF" w:themeColor="background1"/>
              </w:rPr>
              <w:t>Waste water</w:t>
            </w:r>
            <w:proofErr w:type="gramEnd"/>
            <w:r w:rsidRPr="00747C37">
              <w:rPr>
                <w:rFonts w:ascii="Arial" w:hAnsi="Arial" w:cs="Arial"/>
                <w:b/>
                <w:color w:val="FFFFFF" w:themeColor="background1"/>
              </w:rPr>
              <w:t xml:space="preserve"> (p/m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r>
      <w:tr w:rsidR="00B277D8" w14:paraId="79DF0F9D" w14:textId="77777777" w:rsidTr="00BF57F7">
        <w:trPr>
          <w:trHeight w:val="567"/>
        </w:trPr>
        <w:tc>
          <w:tcPr>
            <w:tcW w:w="3539" w:type="dxa"/>
            <w:vAlign w:val="center"/>
          </w:tcPr>
          <w:p w14:paraId="002F3332" w14:textId="14471F29" w:rsidR="00B277D8" w:rsidRPr="00747C37" w:rsidRDefault="00B277D8" w:rsidP="00BF57F7">
            <w:pPr>
              <w:rPr>
                <w:rFonts w:ascii="Arial" w:hAnsi="Arial" w:cs="Arial"/>
              </w:rPr>
            </w:pPr>
            <w:r w:rsidRPr="00747C37">
              <w:rPr>
                <w:rFonts w:ascii="Arial" w:hAnsi="Arial" w:cs="Arial"/>
              </w:rPr>
              <w:t xml:space="preserve">0 – </w:t>
            </w:r>
            <w:r w:rsidR="008A53D3">
              <w:rPr>
                <w:rFonts w:ascii="Arial" w:hAnsi="Arial" w:cs="Arial"/>
              </w:rPr>
              <w:t>10</w:t>
            </w:r>
            <w:r w:rsidRPr="00747C37">
              <w:rPr>
                <w:rFonts w:ascii="Arial" w:hAnsi="Arial" w:cs="Arial"/>
              </w:rPr>
              <w:t>0,000</w:t>
            </w:r>
          </w:p>
        </w:tc>
        <w:tc>
          <w:tcPr>
            <w:tcW w:w="4110" w:type="dxa"/>
            <w:vAlign w:val="center"/>
          </w:tcPr>
          <w:p w14:paraId="2DCBAE00" w14:textId="19ED2529" w:rsidR="00C77E03" w:rsidRPr="00747C37" w:rsidRDefault="00C77E03" w:rsidP="00C77E03">
            <w:pPr>
              <w:jc w:val="center"/>
              <w:rPr>
                <w:rFonts w:ascii="Arial" w:hAnsi="Arial" w:cs="Arial"/>
              </w:rPr>
            </w:pPr>
            <w:r>
              <w:rPr>
                <w:rFonts w:ascii="Arial" w:hAnsi="Arial" w:cs="Arial"/>
              </w:rPr>
              <w:t>105.44</w:t>
            </w:r>
          </w:p>
        </w:tc>
      </w:tr>
      <w:tr w:rsidR="00B277D8" w14:paraId="32E4C13F" w14:textId="77777777" w:rsidTr="00BF57F7">
        <w:trPr>
          <w:trHeight w:val="567"/>
        </w:trPr>
        <w:tc>
          <w:tcPr>
            <w:tcW w:w="3539" w:type="dxa"/>
            <w:vAlign w:val="center"/>
          </w:tcPr>
          <w:p w14:paraId="7EDED25B" w14:textId="552A925F" w:rsidR="00B277D8" w:rsidRPr="00747C37" w:rsidRDefault="00B277D8" w:rsidP="00BF57F7">
            <w:pPr>
              <w:rPr>
                <w:rFonts w:ascii="Arial" w:hAnsi="Arial" w:cs="Arial"/>
              </w:rPr>
            </w:pPr>
            <w:r w:rsidRPr="00747C37">
              <w:rPr>
                <w:rFonts w:ascii="Arial" w:hAnsi="Arial" w:cs="Arial"/>
              </w:rPr>
              <w:t xml:space="preserve">Over </w:t>
            </w:r>
            <w:r w:rsidR="008A53D3">
              <w:rPr>
                <w:rFonts w:ascii="Arial" w:hAnsi="Arial" w:cs="Arial"/>
              </w:rPr>
              <w:t>10</w:t>
            </w:r>
            <w:r w:rsidRPr="00747C37">
              <w:rPr>
                <w:rFonts w:ascii="Arial" w:hAnsi="Arial" w:cs="Arial"/>
              </w:rPr>
              <w:t>0,000</w:t>
            </w:r>
          </w:p>
        </w:tc>
        <w:tc>
          <w:tcPr>
            <w:tcW w:w="4110" w:type="dxa"/>
            <w:vAlign w:val="center"/>
          </w:tcPr>
          <w:p w14:paraId="4538E638" w14:textId="2543A48A" w:rsidR="00B277D8" w:rsidRPr="00747C37" w:rsidRDefault="002D4F9C" w:rsidP="00BF57F7">
            <w:pPr>
              <w:jc w:val="center"/>
              <w:rPr>
                <w:rFonts w:ascii="Arial" w:hAnsi="Arial" w:cs="Arial"/>
              </w:rPr>
            </w:pPr>
            <w:r>
              <w:rPr>
                <w:rFonts w:ascii="Arial" w:hAnsi="Arial" w:cs="Arial"/>
              </w:rPr>
              <w:t>84.36</w:t>
            </w:r>
          </w:p>
        </w:tc>
      </w:tr>
    </w:tbl>
    <w:p w14:paraId="45B9ACD0" w14:textId="1BC5E0A6" w:rsidR="008667A7" w:rsidRDefault="008667A7" w:rsidP="008667A7"/>
    <w:p w14:paraId="7F7593DD" w14:textId="1EEF21F0" w:rsidR="00747C37" w:rsidRDefault="00747C37" w:rsidP="008667A7"/>
    <w:p w14:paraId="2B4E2A90" w14:textId="0B58BC85" w:rsidR="008667A7" w:rsidRDefault="008667A7" w:rsidP="005540CF"/>
    <w:p w14:paraId="0A75EE63" w14:textId="6946F6F9" w:rsidR="005540CF" w:rsidRDefault="005540CF" w:rsidP="005540CF"/>
    <w:p w14:paraId="627D9256" w14:textId="0663CBF5" w:rsidR="005540CF" w:rsidRDefault="005540CF" w:rsidP="005540CF"/>
    <w:p w14:paraId="3D9419E5" w14:textId="75B24041" w:rsidR="005540CF" w:rsidRDefault="005540CF" w:rsidP="005540CF"/>
    <w:p w14:paraId="5257E430" w14:textId="10D9F8E8" w:rsidR="005540CF" w:rsidRDefault="005540CF" w:rsidP="005540CF"/>
    <w:p w14:paraId="152E8C3D" w14:textId="35C6BD3A" w:rsidR="005540CF" w:rsidRDefault="005540CF" w:rsidP="005540CF"/>
    <w:p w14:paraId="24563556" w14:textId="1A48E0DD" w:rsidR="005540CF" w:rsidRDefault="005540CF" w:rsidP="005540CF"/>
    <w:p w14:paraId="78E72FBC" w14:textId="581F3B01" w:rsidR="005540CF" w:rsidRDefault="005540CF" w:rsidP="005540CF"/>
    <w:p w14:paraId="774916D2" w14:textId="61166828" w:rsidR="005540CF" w:rsidRDefault="005540CF" w:rsidP="005540CF">
      <w:pPr>
        <w:rPr>
          <w:rFonts w:ascii="Arial" w:hAnsi="Arial" w:cs="Arial"/>
        </w:rPr>
      </w:pPr>
      <w:r w:rsidRPr="005540CF">
        <w:rPr>
          <w:rFonts w:ascii="Arial" w:hAnsi="Arial" w:cs="Arial"/>
        </w:rPr>
        <w:t xml:space="preserve">*Note that volumetric </w:t>
      </w:r>
      <w:proofErr w:type="gramStart"/>
      <w:r w:rsidRPr="005540CF">
        <w:rPr>
          <w:rFonts w:ascii="Arial" w:hAnsi="Arial" w:cs="Arial"/>
        </w:rPr>
        <w:t>waste water</w:t>
      </w:r>
      <w:proofErr w:type="gramEnd"/>
      <w:r w:rsidRPr="005540CF">
        <w:rPr>
          <w:rFonts w:ascii="Arial" w:hAnsi="Arial" w:cs="Arial"/>
        </w:rPr>
        <w:t xml:space="preserve"> service charges relate exclusively to foul drainage. </w:t>
      </w:r>
    </w:p>
    <w:p w14:paraId="4DEE71F0" w14:textId="3FF88645" w:rsidR="00A52962" w:rsidRPr="00015175" w:rsidRDefault="00015175" w:rsidP="00677918">
      <w:pPr>
        <w:tabs>
          <w:tab w:val="left" w:pos="1089"/>
        </w:tabs>
        <w:rPr>
          <w:rFonts w:ascii="Arial" w:hAnsi="Arial" w:cs="Arial"/>
        </w:rPr>
      </w:pPr>
      <w:r w:rsidRPr="00015175">
        <w:rPr>
          <w:rFonts w:ascii="Arial" w:hAnsi="Arial" w:cs="Arial"/>
        </w:rPr>
        <w:t xml:space="preserve">If the non-household customer is subject to Trade Effluent charging but no Trade Effluent meter is installed, wastewater volumes will be split between domestic sewage and Trade Effluent by reference to </w:t>
      </w:r>
      <w:r w:rsidRPr="00DF3069">
        <w:rPr>
          <w:rFonts w:ascii="Arial" w:hAnsi="Arial" w:cs="Arial"/>
        </w:rPr>
        <w:t>Section B.</w:t>
      </w:r>
      <w:r w:rsidR="00DF3069">
        <w:rPr>
          <w:rFonts w:ascii="Arial" w:hAnsi="Arial" w:cs="Arial"/>
        </w:rPr>
        <w:t>2.8.</w:t>
      </w:r>
    </w:p>
    <w:p w14:paraId="559AE179" w14:textId="31C8B14E" w:rsidR="00FB58A5" w:rsidRDefault="00FB58A5" w:rsidP="00677918">
      <w:pPr>
        <w:tabs>
          <w:tab w:val="left" w:pos="1089"/>
        </w:tabs>
        <w:rPr>
          <w:rFonts w:ascii="Arial" w:hAnsi="Arial" w:cs="Arial"/>
        </w:rPr>
      </w:pPr>
    </w:p>
    <w:p w14:paraId="7B46C8B6" w14:textId="658EE3FA" w:rsidR="00FB58A5" w:rsidRDefault="00FB58A5" w:rsidP="00677918">
      <w:pPr>
        <w:tabs>
          <w:tab w:val="left" w:pos="1089"/>
        </w:tabs>
        <w:rPr>
          <w:rFonts w:ascii="Arial" w:hAnsi="Arial" w:cs="Arial"/>
        </w:rPr>
      </w:pPr>
    </w:p>
    <w:p w14:paraId="35CCE362" w14:textId="103C0038" w:rsidR="00FB58A5" w:rsidRDefault="00FB58A5" w:rsidP="00677918">
      <w:pPr>
        <w:tabs>
          <w:tab w:val="left" w:pos="1089"/>
        </w:tabs>
        <w:rPr>
          <w:rFonts w:ascii="Arial" w:hAnsi="Arial" w:cs="Arial"/>
        </w:rPr>
      </w:pPr>
    </w:p>
    <w:p w14:paraId="68E1211C" w14:textId="1FC014ED" w:rsidR="00FB58A5" w:rsidRDefault="00FB58A5" w:rsidP="00677918">
      <w:pPr>
        <w:tabs>
          <w:tab w:val="left" w:pos="1089"/>
        </w:tabs>
        <w:rPr>
          <w:rFonts w:ascii="Arial" w:hAnsi="Arial" w:cs="Arial"/>
        </w:rPr>
      </w:pPr>
    </w:p>
    <w:p w14:paraId="26EF9533" w14:textId="503B9BD8" w:rsidR="00FB58A5" w:rsidRDefault="00FB58A5" w:rsidP="00677918">
      <w:pPr>
        <w:tabs>
          <w:tab w:val="left" w:pos="1089"/>
        </w:tabs>
        <w:rPr>
          <w:rFonts w:ascii="Arial" w:hAnsi="Arial" w:cs="Arial"/>
        </w:rPr>
      </w:pPr>
    </w:p>
    <w:p w14:paraId="19D690E7" w14:textId="5781A2D1" w:rsidR="00FB58A5" w:rsidRDefault="00FB58A5" w:rsidP="00677918">
      <w:pPr>
        <w:tabs>
          <w:tab w:val="left" w:pos="1089"/>
        </w:tabs>
        <w:rPr>
          <w:rFonts w:ascii="Arial" w:hAnsi="Arial" w:cs="Arial"/>
        </w:rPr>
      </w:pPr>
    </w:p>
    <w:p w14:paraId="23500EE8" w14:textId="5158B219" w:rsidR="00FB58A5" w:rsidRDefault="00FB58A5" w:rsidP="00677918">
      <w:pPr>
        <w:tabs>
          <w:tab w:val="left" w:pos="1089"/>
        </w:tabs>
        <w:rPr>
          <w:rFonts w:ascii="Arial" w:hAnsi="Arial" w:cs="Arial"/>
        </w:rPr>
      </w:pPr>
    </w:p>
    <w:p w14:paraId="52B53E6D" w14:textId="0E28B12B" w:rsidR="00FB58A5" w:rsidRDefault="00FB58A5" w:rsidP="00677918">
      <w:pPr>
        <w:tabs>
          <w:tab w:val="left" w:pos="1089"/>
        </w:tabs>
        <w:rPr>
          <w:rFonts w:ascii="Arial" w:hAnsi="Arial" w:cs="Arial"/>
        </w:rPr>
      </w:pPr>
    </w:p>
    <w:p w14:paraId="4A2182BB" w14:textId="02A11E0C" w:rsidR="00FB58A5" w:rsidRDefault="00FB58A5" w:rsidP="00677918">
      <w:pPr>
        <w:tabs>
          <w:tab w:val="left" w:pos="1089"/>
        </w:tabs>
        <w:rPr>
          <w:rFonts w:ascii="Arial" w:hAnsi="Arial" w:cs="Arial"/>
        </w:rPr>
      </w:pPr>
    </w:p>
    <w:p w14:paraId="7A0A6B3A" w14:textId="7CC08B1A" w:rsidR="00FB58A5" w:rsidRDefault="00FB58A5" w:rsidP="00677918">
      <w:pPr>
        <w:tabs>
          <w:tab w:val="left" w:pos="1089"/>
        </w:tabs>
        <w:rPr>
          <w:rFonts w:ascii="Arial" w:hAnsi="Arial" w:cs="Arial"/>
        </w:rPr>
      </w:pPr>
    </w:p>
    <w:p w14:paraId="01A55F1B" w14:textId="403E4F9F" w:rsidR="00FB58A5" w:rsidRDefault="00FB58A5" w:rsidP="00677918">
      <w:pPr>
        <w:tabs>
          <w:tab w:val="left" w:pos="1089"/>
        </w:tabs>
        <w:rPr>
          <w:rFonts w:ascii="Arial" w:hAnsi="Arial" w:cs="Arial"/>
        </w:rPr>
      </w:pPr>
    </w:p>
    <w:p w14:paraId="3181652C" w14:textId="4C132931" w:rsidR="00FB58A5" w:rsidRDefault="00FB58A5" w:rsidP="00677918">
      <w:pPr>
        <w:tabs>
          <w:tab w:val="left" w:pos="1089"/>
        </w:tabs>
        <w:rPr>
          <w:rFonts w:ascii="Arial" w:hAnsi="Arial" w:cs="Arial"/>
        </w:rPr>
      </w:pPr>
    </w:p>
    <w:p w14:paraId="16201F56" w14:textId="695ED43F" w:rsidR="00FB58A5" w:rsidRDefault="00FB58A5" w:rsidP="00677918">
      <w:pPr>
        <w:tabs>
          <w:tab w:val="left" w:pos="1089"/>
        </w:tabs>
        <w:rPr>
          <w:rFonts w:ascii="Arial" w:hAnsi="Arial" w:cs="Arial"/>
        </w:rPr>
      </w:pPr>
    </w:p>
    <w:p w14:paraId="760162F4" w14:textId="2E3E2453" w:rsidR="00FB58A5" w:rsidRDefault="00FB58A5" w:rsidP="00677918">
      <w:pPr>
        <w:tabs>
          <w:tab w:val="left" w:pos="1089"/>
        </w:tabs>
        <w:rPr>
          <w:rFonts w:ascii="Arial" w:hAnsi="Arial" w:cs="Arial"/>
        </w:rPr>
      </w:pPr>
    </w:p>
    <w:p w14:paraId="21045D65" w14:textId="5DAA6132" w:rsidR="00FB58A5" w:rsidRDefault="00FB58A5" w:rsidP="00677918">
      <w:pPr>
        <w:tabs>
          <w:tab w:val="left" w:pos="1089"/>
        </w:tabs>
        <w:rPr>
          <w:rFonts w:ascii="Arial" w:hAnsi="Arial" w:cs="Arial"/>
        </w:rPr>
      </w:pPr>
    </w:p>
    <w:p w14:paraId="6C5FB6A5" w14:textId="134B5CCE" w:rsidR="00BF1A1B" w:rsidRDefault="00BF1A1B" w:rsidP="00677918">
      <w:pPr>
        <w:tabs>
          <w:tab w:val="left" w:pos="1089"/>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63712" behindDoc="0" locked="0" layoutInCell="1" allowOverlap="1" wp14:anchorId="4D340B6C" wp14:editId="0C2D165E">
                <wp:simplePos x="0" y="0"/>
                <wp:positionH relativeFrom="column">
                  <wp:posOffset>-857250</wp:posOffset>
                </wp:positionH>
                <wp:positionV relativeFrom="paragraph">
                  <wp:posOffset>-19685</wp:posOffset>
                </wp:positionV>
                <wp:extent cx="7418070" cy="361666"/>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99EFC8B" w14:textId="36224970" w:rsidR="007A7A0C" w:rsidRPr="004616F3" w:rsidRDefault="007A7A0C" w:rsidP="00BF1A1B">
                            <w:pPr>
                              <w:pStyle w:val="NoSpacing"/>
                              <w:rPr>
                                <w:rFonts w:ascii="Arial" w:hAnsi="Arial" w:cs="Arial"/>
                                <w:color w:val="FFFFFF" w:themeColor="background1"/>
                                <w:sz w:val="32"/>
                              </w:rPr>
                            </w:pPr>
                            <w:r>
                              <w:rPr>
                                <w:rFonts w:ascii="Arial" w:hAnsi="Arial" w:cs="Arial"/>
                                <w:color w:val="FFFFFF" w:themeColor="background1"/>
                                <w:sz w:val="32"/>
                              </w:rPr>
                              <w:t>B.1.3 Fixed charges – unmetered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40B6C" id="Text Box 22" o:spid="_x0000_s1045" type="#_x0000_t202" style="position:absolute;margin-left:-67.5pt;margin-top:-1.55pt;width:584.1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" fillcolor="#069" stroked="f" strokeweight=".5pt">
                <v:textbox>
                  <w:txbxContent>
                    <w:p w14:paraId="699EFC8B" w14:textId="36224970" w:rsidR="007A7A0C" w:rsidRPr="004616F3" w:rsidRDefault="007A7A0C" w:rsidP="00BF1A1B">
                      <w:pPr>
                        <w:pStyle w:val="NoSpacing"/>
                        <w:rPr>
                          <w:rFonts w:ascii="Arial" w:hAnsi="Arial" w:cs="Arial"/>
                          <w:color w:val="FFFFFF" w:themeColor="background1"/>
                          <w:sz w:val="32"/>
                        </w:rPr>
                      </w:pPr>
                      <w:r>
                        <w:rPr>
                          <w:rFonts w:ascii="Arial" w:hAnsi="Arial" w:cs="Arial"/>
                          <w:color w:val="FFFFFF" w:themeColor="background1"/>
                          <w:sz w:val="32"/>
                        </w:rPr>
                        <w:t>B.1.3 Fixed charges – unmetered per year</w:t>
                      </w:r>
                    </w:p>
                  </w:txbxContent>
                </v:textbox>
              </v:shape>
            </w:pict>
          </mc:Fallback>
        </mc:AlternateContent>
      </w:r>
    </w:p>
    <w:p w14:paraId="182100A5" w14:textId="77777777" w:rsidR="00BF1A1B" w:rsidRDefault="00BF1A1B" w:rsidP="00677918">
      <w:pPr>
        <w:tabs>
          <w:tab w:val="left" w:pos="1089"/>
        </w:tabs>
        <w:rPr>
          <w:rFonts w:ascii="Arial" w:hAnsi="Arial" w:cs="Arial"/>
        </w:rPr>
      </w:pPr>
    </w:p>
    <w:p w14:paraId="03A2C2E1" w14:textId="77777777" w:rsidR="00BF1A1B" w:rsidRDefault="00BF1A1B" w:rsidP="00677918">
      <w:pPr>
        <w:tabs>
          <w:tab w:val="left" w:pos="1089"/>
        </w:tabs>
        <w:rPr>
          <w:rFonts w:ascii="Arial" w:hAnsi="Arial" w:cs="Arial"/>
        </w:rPr>
      </w:pPr>
    </w:p>
    <w:tbl>
      <w:tblPr>
        <w:tblStyle w:val="TableGrid"/>
        <w:tblpPr w:leftFromText="180" w:rightFromText="180" w:vertAnchor="page" w:horzAnchor="margin" w:tblpXSpec="center" w:tblpY="3226"/>
        <w:tblW w:w="11340" w:type="dxa"/>
        <w:tblLayout w:type="fixed"/>
        <w:tblLook w:val="04A0" w:firstRow="1" w:lastRow="0" w:firstColumn="1" w:lastColumn="0" w:noHBand="0" w:noVBand="1"/>
      </w:tblPr>
      <w:tblGrid>
        <w:gridCol w:w="2835"/>
        <w:gridCol w:w="2835"/>
        <w:gridCol w:w="2835"/>
        <w:gridCol w:w="2835"/>
      </w:tblGrid>
      <w:tr w:rsidR="00BF1A1B" w14:paraId="2F67C463" w14:textId="77777777" w:rsidTr="00BF1A1B">
        <w:trPr>
          <w:trHeight w:val="510"/>
        </w:trPr>
        <w:tc>
          <w:tcPr>
            <w:tcW w:w="5670" w:type="dxa"/>
            <w:gridSpan w:val="2"/>
            <w:shd w:val="clear" w:color="auto" w:fill="006699"/>
            <w:vAlign w:val="center"/>
          </w:tcPr>
          <w:p w14:paraId="7C4A7DF4" w14:textId="77777777" w:rsidR="00BF1A1B" w:rsidRPr="00447AEE" w:rsidRDefault="00BF1A1B" w:rsidP="00BF1A1B">
            <w:pPr>
              <w:jc w:val="center"/>
              <w:rPr>
                <w:rFonts w:ascii="Arial" w:hAnsi="Arial" w:cs="Arial"/>
                <w:b/>
                <w:color w:val="FFFFFF" w:themeColor="background1"/>
                <w:sz w:val="24"/>
              </w:rPr>
            </w:pPr>
            <w:r>
              <w:rPr>
                <w:rFonts w:ascii="Arial" w:hAnsi="Arial" w:cs="Arial"/>
              </w:rPr>
              <w:tab/>
            </w:r>
            <w:r w:rsidRPr="00447AEE">
              <w:rPr>
                <w:rFonts w:ascii="Arial" w:hAnsi="Arial" w:cs="Arial"/>
                <w:b/>
                <w:color w:val="FFFFFF" w:themeColor="background1"/>
                <w:sz w:val="24"/>
              </w:rPr>
              <w:t>Pipe Size</w:t>
            </w:r>
          </w:p>
        </w:tc>
        <w:tc>
          <w:tcPr>
            <w:tcW w:w="5670" w:type="dxa"/>
            <w:gridSpan w:val="2"/>
            <w:shd w:val="clear" w:color="auto" w:fill="006699"/>
            <w:vAlign w:val="center"/>
          </w:tcPr>
          <w:p w14:paraId="50CEFA5E" w14:textId="77777777" w:rsidR="00BF1A1B" w:rsidRPr="00447AEE" w:rsidRDefault="00BF1A1B" w:rsidP="00BF1A1B">
            <w:pPr>
              <w:jc w:val="center"/>
              <w:rPr>
                <w:rFonts w:ascii="Arial" w:hAnsi="Arial" w:cs="Arial"/>
                <w:b/>
                <w:color w:val="FFFFFF" w:themeColor="background1"/>
                <w:sz w:val="24"/>
              </w:rPr>
            </w:pPr>
            <w:r>
              <w:rPr>
                <w:rFonts w:ascii="Arial" w:hAnsi="Arial" w:cs="Arial"/>
                <w:b/>
                <w:color w:val="FFFFFF" w:themeColor="background1"/>
                <w:sz w:val="24"/>
              </w:rPr>
              <w:t>Waste water</w:t>
            </w:r>
          </w:p>
        </w:tc>
      </w:tr>
      <w:tr w:rsidR="00BF1A1B" w14:paraId="169EB550" w14:textId="77777777" w:rsidTr="00BF1A1B">
        <w:trPr>
          <w:trHeight w:val="510"/>
        </w:trPr>
        <w:tc>
          <w:tcPr>
            <w:tcW w:w="2835" w:type="dxa"/>
            <w:shd w:val="clear" w:color="auto" w:fill="006699"/>
            <w:vAlign w:val="center"/>
          </w:tcPr>
          <w:p w14:paraId="3AE5D472"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Millimetre</w:t>
            </w:r>
          </w:p>
        </w:tc>
        <w:tc>
          <w:tcPr>
            <w:tcW w:w="2835" w:type="dxa"/>
            <w:shd w:val="clear" w:color="auto" w:fill="006699"/>
            <w:vAlign w:val="center"/>
          </w:tcPr>
          <w:p w14:paraId="1E13E206"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Inches</w:t>
            </w:r>
          </w:p>
        </w:tc>
        <w:tc>
          <w:tcPr>
            <w:tcW w:w="2835" w:type="dxa"/>
            <w:shd w:val="clear" w:color="auto" w:fill="006699"/>
            <w:vAlign w:val="center"/>
          </w:tcPr>
          <w:p w14:paraId="7BD2B407"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Full</w:t>
            </w:r>
          </w:p>
        </w:tc>
        <w:tc>
          <w:tcPr>
            <w:tcW w:w="2835" w:type="dxa"/>
            <w:shd w:val="clear" w:color="auto" w:fill="006699"/>
            <w:vAlign w:val="center"/>
          </w:tcPr>
          <w:p w14:paraId="5D51650E"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Abated*</w:t>
            </w:r>
          </w:p>
        </w:tc>
      </w:tr>
      <w:tr w:rsidR="00BF1A1B" w14:paraId="035E65CA" w14:textId="77777777" w:rsidTr="00BF1A1B">
        <w:trPr>
          <w:trHeight w:val="510"/>
        </w:trPr>
        <w:tc>
          <w:tcPr>
            <w:tcW w:w="2835" w:type="dxa"/>
            <w:vAlign w:val="center"/>
          </w:tcPr>
          <w:p w14:paraId="619E6EC4" w14:textId="77777777" w:rsidR="00BF1A1B" w:rsidRPr="00447AEE" w:rsidRDefault="00BF1A1B" w:rsidP="00BF1A1B">
            <w:pPr>
              <w:rPr>
                <w:rFonts w:ascii="Arial" w:hAnsi="Arial" w:cs="Arial"/>
              </w:rPr>
            </w:pPr>
            <w:r w:rsidRPr="00447AEE">
              <w:rPr>
                <w:rFonts w:ascii="Arial" w:hAnsi="Arial" w:cs="Arial"/>
              </w:rPr>
              <w:t>All households</w:t>
            </w:r>
          </w:p>
        </w:tc>
        <w:tc>
          <w:tcPr>
            <w:tcW w:w="2835" w:type="dxa"/>
            <w:vAlign w:val="center"/>
          </w:tcPr>
          <w:p w14:paraId="160C3198" w14:textId="77777777" w:rsidR="00BF1A1B" w:rsidRDefault="00BF1A1B" w:rsidP="00BF1A1B">
            <w:pPr>
              <w:jc w:val="center"/>
            </w:pPr>
            <w:r>
              <w:t>N/A</w:t>
            </w:r>
          </w:p>
        </w:tc>
        <w:tc>
          <w:tcPr>
            <w:tcW w:w="2835" w:type="dxa"/>
            <w:vAlign w:val="center"/>
          </w:tcPr>
          <w:p w14:paraId="6CD74645" w14:textId="0430D8DE" w:rsidR="00BF1A1B" w:rsidRDefault="00BF1A1B" w:rsidP="00590AEA">
            <w:pPr>
              <w:jc w:val="center"/>
            </w:pPr>
            <w:r>
              <w:t>£</w:t>
            </w:r>
            <w:r w:rsidR="00842909">
              <w:t>51.15</w:t>
            </w:r>
          </w:p>
        </w:tc>
        <w:tc>
          <w:tcPr>
            <w:tcW w:w="2835" w:type="dxa"/>
            <w:vAlign w:val="center"/>
          </w:tcPr>
          <w:p w14:paraId="19AFABCC" w14:textId="36B5E83D" w:rsidR="00BF1A1B" w:rsidRDefault="00BF1A1B" w:rsidP="00590AEA">
            <w:pPr>
              <w:jc w:val="center"/>
            </w:pPr>
            <w:r>
              <w:t>£</w:t>
            </w:r>
            <w:r w:rsidR="00842909">
              <w:t>18.69</w:t>
            </w:r>
          </w:p>
        </w:tc>
      </w:tr>
      <w:tr w:rsidR="00BF1A1B" w14:paraId="0984E2E7" w14:textId="77777777" w:rsidTr="00BF1A1B">
        <w:trPr>
          <w:trHeight w:val="510"/>
        </w:trPr>
        <w:tc>
          <w:tcPr>
            <w:tcW w:w="11340" w:type="dxa"/>
            <w:gridSpan w:val="4"/>
            <w:shd w:val="clear" w:color="auto" w:fill="006699"/>
            <w:vAlign w:val="center"/>
          </w:tcPr>
          <w:p w14:paraId="57739E18" w14:textId="77777777" w:rsidR="00BF1A1B" w:rsidRPr="0030517C" w:rsidRDefault="00BF1A1B" w:rsidP="00BF1A1B">
            <w:pPr>
              <w:jc w:val="center"/>
              <w:rPr>
                <w:rFonts w:ascii="Arial" w:hAnsi="Arial" w:cs="Arial"/>
                <w:b/>
              </w:rPr>
            </w:pPr>
            <w:r w:rsidRPr="008667A7">
              <w:rPr>
                <w:rFonts w:ascii="Arial" w:hAnsi="Arial" w:cs="Arial"/>
                <w:b/>
                <w:color w:val="FFFFFF" w:themeColor="background1"/>
              </w:rPr>
              <w:t>Non-Households</w:t>
            </w:r>
          </w:p>
        </w:tc>
      </w:tr>
      <w:tr w:rsidR="00BF1A1B" w14:paraId="43B3867B" w14:textId="77777777" w:rsidTr="00BF1A1B">
        <w:trPr>
          <w:trHeight w:val="510"/>
        </w:trPr>
        <w:tc>
          <w:tcPr>
            <w:tcW w:w="2835" w:type="dxa"/>
            <w:vAlign w:val="center"/>
          </w:tcPr>
          <w:p w14:paraId="4A0165C6" w14:textId="77777777" w:rsidR="00BF1A1B" w:rsidRDefault="00BF1A1B" w:rsidP="00BF1A1B">
            <w:r>
              <w:t>12/15</w:t>
            </w:r>
          </w:p>
        </w:tc>
        <w:tc>
          <w:tcPr>
            <w:tcW w:w="2835" w:type="dxa"/>
            <w:vAlign w:val="center"/>
          </w:tcPr>
          <w:p w14:paraId="32AA3D10" w14:textId="77777777" w:rsidR="00BF1A1B" w:rsidRDefault="00BF1A1B" w:rsidP="00BF1A1B">
            <w:pPr>
              <w:jc w:val="center"/>
            </w:pPr>
            <w:r>
              <w:t>0.5</w:t>
            </w:r>
          </w:p>
        </w:tc>
        <w:tc>
          <w:tcPr>
            <w:tcW w:w="2835" w:type="dxa"/>
            <w:vAlign w:val="center"/>
          </w:tcPr>
          <w:p w14:paraId="47F56A60" w14:textId="7E169715" w:rsidR="00BF1A1B" w:rsidRDefault="00BF1A1B" w:rsidP="00590AEA">
            <w:pPr>
              <w:jc w:val="center"/>
            </w:pPr>
            <w:r>
              <w:t>£</w:t>
            </w:r>
            <w:r w:rsidR="00FE4866">
              <w:t>51.15</w:t>
            </w:r>
          </w:p>
        </w:tc>
        <w:tc>
          <w:tcPr>
            <w:tcW w:w="2835" w:type="dxa"/>
            <w:vAlign w:val="center"/>
          </w:tcPr>
          <w:p w14:paraId="2CFEBD5E" w14:textId="58CC89F0" w:rsidR="00BF1A1B" w:rsidRDefault="00BF1A1B" w:rsidP="00590AEA">
            <w:pPr>
              <w:jc w:val="center"/>
            </w:pPr>
            <w:r>
              <w:t>£</w:t>
            </w:r>
            <w:r w:rsidR="009F4675">
              <w:t>18.69</w:t>
            </w:r>
          </w:p>
        </w:tc>
      </w:tr>
      <w:tr w:rsidR="00BF1A1B" w14:paraId="4D45D556" w14:textId="77777777" w:rsidTr="00BF1A1B">
        <w:trPr>
          <w:trHeight w:val="510"/>
        </w:trPr>
        <w:tc>
          <w:tcPr>
            <w:tcW w:w="2835" w:type="dxa"/>
            <w:vAlign w:val="center"/>
          </w:tcPr>
          <w:p w14:paraId="593AF386" w14:textId="77777777" w:rsidR="00BF1A1B" w:rsidRDefault="00BF1A1B" w:rsidP="00BF1A1B">
            <w:r>
              <w:t>20/22</w:t>
            </w:r>
          </w:p>
        </w:tc>
        <w:tc>
          <w:tcPr>
            <w:tcW w:w="2835" w:type="dxa"/>
            <w:vAlign w:val="center"/>
          </w:tcPr>
          <w:p w14:paraId="459D4986" w14:textId="77777777" w:rsidR="00BF1A1B" w:rsidRDefault="00BF1A1B" w:rsidP="00BF1A1B">
            <w:pPr>
              <w:jc w:val="center"/>
            </w:pPr>
            <w:r>
              <w:t>0.75</w:t>
            </w:r>
          </w:p>
        </w:tc>
        <w:tc>
          <w:tcPr>
            <w:tcW w:w="2835" w:type="dxa"/>
            <w:vAlign w:val="center"/>
          </w:tcPr>
          <w:p w14:paraId="3E1A7E75" w14:textId="719D0C97" w:rsidR="00BF1A1B" w:rsidRDefault="00BF1A1B" w:rsidP="00590AEA">
            <w:pPr>
              <w:jc w:val="center"/>
            </w:pPr>
            <w:r>
              <w:t>£</w:t>
            </w:r>
            <w:r w:rsidR="00184B78">
              <w:t>12</w:t>
            </w:r>
            <w:r w:rsidR="00130615">
              <w:t>7.97</w:t>
            </w:r>
          </w:p>
        </w:tc>
        <w:tc>
          <w:tcPr>
            <w:tcW w:w="2835" w:type="dxa"/>
            <w:vAlign w:val="center"/>
          </w:tcPr>
          <w:p w14:paraId="1972341C" w14:textId="7D4C5639" w:rsidR="00BF1A1B" w:rsidRDefault="00BF1A1B" w:rsidP="00590AEA">
            <w:pPr>
              <w:jc w:val="center"/>
            </w:pPr>
            <w:r>
              <w:t>£</w:t>
            </w:r>
            <w:r w:rsidR="009F4675">
              <w:t>51.57</w:t>
            </w:r>
          </w:p>
        </w:tc>
      </w:tr>
      <w:tr w:rsidR="00BF1A1B" w14:paraId="7A325116" w14:textId="77777777" w:rsidTr="00BF1A1B">
        <w:trPr>
          <w:trHeight w:val="510"/>
        </w:trPr>
        <w:tc>
          <w:tcPr>
            <w:tcW w:w="2835" w:type="dxa"/>
            <w:vAlign w:val="center"/>
          </w:tcPr>
          <w:p w14:paraId="0B1622CE" w14:textId="77777777" w:rsidR="00BF1A1B" w:rsidRDefault="00BF1A1B" w:rsidP="00BF1A1B">
            <w:r>
              <w:t>25/28</w:t>
            </w:r>
          </w:p>
        </w:tc>
        <w:tc>
          <w:tcPr>
            <w:tcW w:w="2835" w:type="dxa"/>
            <w:vAlign w:val="center"/>
          </w:tcPr>
          <w:p w14:paraId="6B41F527" w14:textId="77777777" w:rsidR="00BF1A1B" w:rsidRDefault="00BF1A1B" w:rsidP="00BF1A1B">
            <w:pPr>
              <w:jc w:val="center"/>
            </w:pPr>
            <w:r>
              <w:t>1.00</w:t>
            </w:r>
          </w:p>
        </w:tc>
        <w:tc>
          <w:tcPr>
            <w:tcW w:w="2835" w:type="dxa"/>
            <w:vAlign w:val="center"/>
          </w:tcPr>
          <w:p w14:paraId="5C66BB79" w14:textId="70045539" w:rsidR="00BF1A1B" w:rsidRDefault="00BF1A1B" w:rsidP="00590AEA">
            <w:pPr>
              <w:jc w:val="center"/>
            </w:pPr>
            <w:r>
              <w:t>£</w:t>
            </w:r>
            <w:r w:rsidR="00130615">
              <w:t>228.79</w:t>
            </w:r>
          </w:p>
        </w:tc>
        <w:tc>
          <w:tcPr>
            <w:tcW w:w="2835" w:type="dxa"/>
            <w:vAlign w:val="center"/>
          </w:tcPr>
          <w:p w14:paraId="6C32F6C8" w14:textId="6A1C96D6" w:rsidR="00BF1A1B" w:rsidRDefault="00BF1A1B" w:rsidP="00590AEA">
            <w:pPr>
              <w:jc w:val="center"/>
            </w:pPr>
            <w:r>
              <w:t>£</w:t>
            </w:r>
            <w:r w:rsidR="009F4675">
              <w:t>92.35</w:t>
            </w:r>
          </w:p>
        </w:tc>
      </w:tr>
      <w:tr w:rsidR="00BF1A1B" w14:paraId="135A37B7" w14:textId="77777777" w:rsidTr="00BF1A1B">
        <w:trPr>
          <w:trHeight w:val="510"/>
        </w:trPr>
        <w:tc>
          <w:tcPr>
            <w:tcW w:w="2835" w:type="dxa"/>
            <w:vAlign w:val="center"/>
          </w:tcPr>
          <w:p w14:paraId="775DB1B3" w14:textId="77777777" w:rsidR="00BF1A1B" w:rsidRDefault="00BF1A1B" w:rsidP="00BF1A1B">
            <w:r>
              <w:t>30/32/35</w:t>
            </w:r>
          </w:p>
        </w:tc>
        <w:tc>
          <w:tcPr>
            <w:tcW w:w="2835" w:type="dxa"/>
            <w:vAlign w:val="center"/>
          </w:tcPr>
          <w:p w14:paraId="607711D7" w14:textId="77777777" w:rsidR="00BF1A1B" w:rsidRDefault="00BF1A1B" w:rsidP="00BF1A1B">
            <w:pPr>
              <w:jc w:val="center"/>
            </w:pPr>
            <w:r>
              <w:t>1.25</w:t>
            </w:r>
          </w:p>
        </w:tc>
        <w:tc>
          <w:tcPr>
            <w:tcW w:w="2835" w:type="dxa"/>
            <w:vAlign w:val="center"/>
          </w:tcPr>
          <w:p w14:paraId="52F46203" w14:textId="30FABFB6" w:rsidR="00BF1A1B" w:rsidRDefault="00BF1A1B" w:rsidP="00590AEA">
            <w:pPr>
              <w:jc w:val="center"/>
            </w:pPr>
            <w:r>
              <w:t>£</w:t>
            </w:r>
            <w:r w:rsidR="00130615">
              <w:t>356.78</w:t>
            </w:r>
          </w:p>
        </w:tc>
        <w:tc>
          <w:tcPr>
            <w:tcW w:w="2835" w:type="dxa"/>
            <w:vAlign w:val="center"/>
          </w:tcPr>
          <w:p w14:paraId="0460DF11" w14:textId="157F9CD1" w:rsidR="00BF1A1B" w:rsidRDefault="00BF1A1B" w:rsidP="00590AEA">
            <w:pPr>
              <w:jc w:val="center"/>
            </w:pPr>
            <w:r>
              <w:t>£</w:t>
            </w:r>
            <w:r w:rsidR="009F4675">
              <w:t>143.93</w:t>
            </w:r>
          </w:p>
        </w:tc>
      </w:tr>
      <w:tr w:rsidR="00BF1A1B" w14:paraId="7B0E2544" w14:textId="77777777" w:rsidTr="00BF1A1B">
        <w:trPr>
          <w:trHeight w:val="510"/>
        </w:trPr>
        <w:tc>
          <w:tcPr>
            <w:tcW w:w="2835" w:type="dxa"/>
            <w:vAlign w:val="center"/>
          </w:tcPr>
          <w:p w14:paraId="0718253A" w14:textId="77777777" w:rsidR="00BF1A1B" w:rsidRDefault="00BF1A1B" w:rsidP="00BF1A1B">
            <w:r>
              <w:t>40/42</w:t>
            </w:r>
          </w:p>
        </w:tc>
        <w:tc>
          <w:tcPr>
            <w:tcW w:w="2835" w:type="dxa"/>
            <w:vAlign w:val="center"/>
          </w:tcPr>
          <w:p w14:paraId="4458C8F5" w14:textId="77777777" w:rsidR="00BF1A1B" w:rsidRDefault="00BF1A1B" w:rsidP="00BF1A1B">
            <w:pPr>
              <w:jc w:val="center"/>
            </w:pPr>
            <w:r>
              <w:t>1.50</w:t>
            </w:r>
          </w:p>
        </w:tc>
        <w:tc>
          <w:tcPr>
            <w:tcW w:w="2835" w:type="dxa"/>
            <w:vAlign w:val="center"/>
          </w:tcPr>
          <w:p w14:paraId="1D224343" w14:textId="60AF7957" w:rsidR="00BF1A1B" w:rsidRDefault="00BF1A1B" w:rsidP="00590AEA">
            <w:pPr>
              <w:jc w:val="center"/>
            </w:pPr>
            <w:r>
              <w:t>£</w:t>
            </w:r>
            <w:r w:rsidR="00130615">
              <w:t>513.31</w:t>
            </w:r>
          </w:p>
        </w:tc>
        <w:tc>
          <w:tcPr>
            <w:tcW w:w="2835" w:type="dxa"/>
            <w:vAlign w:val="center"/>
          </w:tcPr>
          <w:p w14:paraId="467B162A" w14:textId="76C0B9A8" w:rsidR="00BF1A1B" w:rsidRDefault="00BF1A1B" w:rsidP="00590AEA">
            <w:pPr>
              <w:jc w:val="center"/>
            </w:pPr>
            <w:r>
              <w:t>£</w:t>
            </w:r>
            <w:r w:rsidR="00300CED">
              <w:t>206.30</w:t>
            </w:r>
          </w:p>
        </w:tc>
      </w:tr>
      <w:tr w:rsidR="00BF1A1B" w14:paraId="1618B3A4" w14:textId="77777777" w:rsidTr="00BF1A1B">
        <w:trPr>
          <w:trHeight w:val="510"/>
        </w:trPr>
        <w:tc>
          <w:tcPr>
            <w:tcW w:w="2835" w:type="dxa"/>
            <w:vAlign w:val="center"/>
          </w:tcPr>
          <w:p w14:paraId="68B8A400" w14:textId="77777777" w:rsidR="00BF1A1B" w:rsidRDefault="00BF1A1B" w:rsidP="00BF1A1B">
            <w:r>
              <w:t>50/54</w:t>
            </w:r>
          </w:p>
        </w:tc>
        <w:tc>
          <w:tcPr>
            <w:tcW w:w="2835" w:type="dxa"/>
            <w:vAlign w:val="center"/>
          </w:tcPr>
          <w:p w14:paraId="0E788F69" w14:textId="77777777" w:rsidR="00BF1A1B" w:rsidRDefault="00BF1A1B" w:rsidP="00BF1A1B">
            <w:pPr>
              <w:jc w:val="center"/>
            </w:pPr>
            <w:r>
              <w:t>2.00</w:t>
            </w:r>
          </w:p>
        </w:tc>
        <w:tc>
          <w:tcPr>
            <w:tcW w:w="2835" w:type="dxa"/>
            <w:vAlign w:val="center"/>
          </w:tcPr>
          <w:p w14:paraId="422268D7" w14:textId="21A854B3" w:rsidR="00BF1A1B" w:rsidRDefault="00BF1A1B" w:rsidP="00590AEA">
            <w:pPr>
              <w:jc w:val="center"/>
            </w:pPr>
            <w:r>
              <w:t>£</w:t>
            </w:r>
            <w:r w:rsidR="00130615">
              <w:t>911.42</w:t>
            </w:r>
          </w:p>
        </w:tc>
        <w:tc>
          <w:tcPr>
            <w:tcW w:w="2835" w:type="dxa"/>
            <w:vAlign w:val="center"/>
          </w:tcPr>
          <w:p w14:paraId="3D1CD4B3" w14:textId="1E8349FF" w:rsidR="00BF1A1B" w:rsidRDefault="00BF1A1B" w:rsidP="00590AEA">
            <w:pPr>
              <w:jc w:val="center"/>
            </w:pPr>
            <w:r>
              <w:t>£</w:t>
            </w:r>
            <w:r w:rsidR="00300CED">
              <w:t>367.03</w:t>
            </w:r>
          </w:p>
        </w:tc>
      </w:tr>
      <w:tr w:rsidR="00BF1A1B" w14:paraId="7FC66610" w14:textId="77777777" w:rsidTr="00BF1A1B">
        <w:trPr>
          <w:trHeight w:val="510"/>
        </w:trPr>
        <w:tc>
          <w:tcPr>
            <w:tcW w:w="2835" w:type="dxa"/>
            <w:vAlign w:val="center"/>
          </w:tcPr>
          <w:p w14:paraId="4CB06189" w14:textId="77777777" w:rsidR="00BF1A1B" w:rsidRDefault="00BF1A1B" w:rsidP="00BF1A1B">
            <w:r>
              <w:t>65</w:t>
            </w:r>
          </w:p>
        </w:tc>
        <w:tc>
          <w:tcPr>
            <w:tcW w:w="2835" w:type="dxa"/>
            <w:vAlign w:val="center"/>
          </w:tcPr>
          <w:p w14:paraId="259A9F23" w14:textId="77777777" w:rsidR="00BF1A1B" w:rsidRDefault="00BF1A1B" w:rsidP="00BF1A1B">
            <w:pPr>
              <w:jc w:val="center"/>
            </w:pPr>
            <w:r>
              <w:t>2.50</w:t>
            </w:r>
          </w:p>
        </w:tc>
        <w:tc>
          <w:tcPr>
            <w:tcW w:w="2835" w:type="dxa"/>
            <w:vAlign w:val="center"/>
          </w:tcPr>
          <w:p w14:paraId="37D7B770" w14:textId="26B82AC9" w:rsidR="00BF1A1B" w:rsidRDefault="00BF1A1B" w:rsidP="00590AEA">
            <w:pPr>
              <w:jc w:val="center"/>
            </w:pPr>
            <w:r>
              <w:t>£</w:t>
            </w:r>
            <w:r w:rsidR="00184B78">
              <w:t>1,</w:t>
            </w:r>
            <w:r w:rsidR="00130615">
              <w:t>425.90</w:t>
            </w:r>
          </w:p>
        </w:tc>
        <w:tc>
          <w:tcPr>
            <w:tcW w:w="2835" w:type="dxa"/>
            <w:vAlign w:val="center"/>
          </w:tcPr>
          <w:p w14:paraId="69A52697" w14:textId="5C736263" w:rsidR="00BF1A1B" w:rsidRDefault="00BF1A1B" w:rsidP="00590AEA">
            <w:pPr>
              <w:jc w:val="center"/>
            </w:pPr>
            <w:r>
              <w:t>£</w:t>
            </w:r>
            <w:r w:rsidR="00300CED">
              <w:t>574.54</w:t>
            </w:r>
          </w:p>
        </w:tc>
      </w:tr>
      <w:tr w:rsidR="00BF1A1B" w14:paraId="31C1776A" w14:textId="77777777" w:rsidTr="00BF1A1B">
        <w:trPr>
          <w:trHeight w:val="510"/>
        </w:trPr>
        <w:tc>
          <w:tcPr>
            <w:tcW w:w="2835" w:type="dxa"/>
            <w:vAlign w:val="center"/>
          </w:tcPr>
          <w:p w14:paraId="794673A3" w14:textId="77777777" w:rsidR="00BF1A1B" w:rsidRDefault="00BF1A1B" w:rsidP="00BF1A1B">
            <w:r>
              <w:t>75/80</w:t>
            </w:r>
          </w:p>
        </w:tc>
        <w:tc>
          <w:tcPr>
            <w:tcW w:w="2835" w:type="dxa"/>
            <w:vAlign w:val="center"/>
          </w:tcPr>
          <w:p w14:paraId="1ECF2FEC" w14:textId="77777777" w:rsidR="00BF1A1B" w:rsidRDefault="00BF1A1B" w:rsidP="00BF1A1B">
            <w:pPr>
              <w:jc w:val="center"/>
            </w:pPr>
            <w:r>
              <w:t>3.00</w:t>
            </w:r>
          </w:p>
        </w:tc>
        <w:tc>
          <w:tcPr>
            <w:tcW w:w="2835" w:type="dxa"/>
            <w:vAlign w:val="center"/>
          </w:tcPr>
          <w:p w14:paraId="0D6E4661" w14:textId="1C6AB350" w:rsidR="00BF1A1B" w:rsidRDefault="00BF1A1B" w:rsidP="00590AEA">
            <w:pPr>
              <w:jc w:val="center"/>
            </w:pPr>
            <w:r>
              <w:t>£</w:t>
            </w:r>
            <w:r w:rsidR="00130615">
              <w:t>2,051.63</w:t>
            </w:r>
          </w:p>
        </w:tc>
        <w:tc>
          <w:tcPr>
            <w:tcW w:w="2835" w:type="dxa"/>
            <w:vAlign w:val="center"/>
          </w:tcPr>
          <w:p w14:paraId="5A8EC251" w14:textId="11474D1B" w:rsidR="00BF1A1B" w:rsidRDefault="00BF1A1B" w:rsidP="00590AEA">
            <w:pPr>
              <w:jc w:val="center"/>
            </w:pPr>
            <w:r>
              <w:t>£</w:t>
            </w:r>
            <w:r w:rsidR="00300CED">
              <w:t>826.42</w:t>
            </w:r>
          </w:p>
        </w:tc>
      </w:tr>
      <w:tr w:rsidR="00BF1A1B" w14:paraId="6611D4D8" w14:textId="77777777" w:rsidTr="00BF1A1B">
        <w:trPr>
          <w:trHeight w:val="510"/>
        </w:trPr>
        <w:tc>
          <w:tcPr>
            <w:tcW w:w="2835" w:type="dxa"/>
            <w:vAlign w:val="center"/>
          </w:tcPr>
          <w:p w14:paraId="660EFD1D" w14:textId="77777777" w:rsidR="00BF1A1B" w:rsidRDefault="00BF1A1B" w:rsidP="00BF1A1B">
            <w:r>
              <w:t>100</w:t>
            </w:r>
          </w:p>
        </w:tc>
        <w:tc>
          <w:tcPr>
            <w:tcW w:w="2835" w:type="dxa"/>
            <w:vAlign w:val="center"/>
          </w:tcPr>
          <w:p w14:paraId="6811390B" w14:textId="77777777" w:rsidR="00BF1A1B" w:rsidRDefault="00BF1A1B" w:rsidP="00BF1A1B">
            <w:pPr>
              <w:jc w:val="center"/>
            </w:pPr>
            <w:r>
              <w:t>4.00</w:t>
            </w:r>
          </w:p>
        </w:tc>
        <w:tc>
          <w:tcPr>
            <w:tcW w:w="2835" w:type="dxa"/>
            <w:vAlign w:val="center"/>
          </w:tcPr>
          <w:p w14:paraId="77C65055" w14:textId="30EDC423" w:rsidR="00BF1A1B" w:rsidRDefault="00BF1A1B" w:rsidP="00590AEA">
            <w:pPr>
              <w:jc w:val="center"/>
            </w:pPr>
            <w:r>
              <w:t>£</w:t>
            </w:r>
            <w:r w:rsidR="00184B78">
              <w:t>3</w:t>
            </w:r>
            <w:r w:rsidR="009F4675">
              <w:t>,648.24</w:t>
            </w:r>
          </w:p>
        </w:tc>
        <w:tc>
          <w:tcPr>
            <w:tcW w:w="2835" w:type="dxa"/>
            <w:vAlign w:val="center"/>
          </w:tcPr>
          <w:p w14:paraId="0E04B7F4" w14:textId="2B2AD360" w:rsidR="00BF1A1B" w:rsidRDefault="00BF1A1B" w:rsidP="00590AEA">
            <w:pPr>
              <w:jc w:val="center"/>
            </w:pPr>
            <w:r>
              <w:t>£</w:t>
            </w:r>
            <w:r w:rsidR="00184B78">
              <w:t>1,4</w:t>
            </w:r>
            <w:r w:rsidR="00300CED">
              <w:t>69.31</w:t>
            </w:r>
          </w:p>
        </w:tc>
      </w:tr>
    </w:tbl>
    <w:p w14:paraId="3150F55A" w14:textId="77777777" w:rsidR="00BF1A1B" w:rsidRDefault="00BF1A1B">
      <w:pPr>
        <w:rPr>
          <w:rFonts w:ascii="Arial" w:hAnsi="Arial" w:cs="Arial"/>
        </w:rPr>
      </w:pPr>
    </w:p>
    <w:p w14:paraId="09E13E70" w14:textId="72118C6D" w:rsidR="00BF1A1B" w:rsidRDefault="00BF1A1B" w:rsidP="00BF1A1B">
      <w:pPr>
        <w:tabs>
          <w:tab w:val="left" w:pos="1089"/>
        </w:tabs>
        <w:rPr>
          <w:rFonts w:ascii="Arial" w:hAnsi="Arial" w:cs="Arial"/>
        </w:rPr>
      </w:pPr>
      <w:bookmarkStart w:id="0" w:name="_Hlk535416243"/>
      <w:r w:rsidRPr="0066219F">
        <w:rPr>
          <w:rFonts w:ascii="Arial" w:hAnsi="Arial" w:cs="Arial"/>
        </w:rPr>
        <w:t>* Where a household premises does not discharge surface water to our sewers, they can claim an abatement of £</w:t>
      </w:r>
      <w:r w:rsidR="00184B78">
        <w:rPr>
          <w:rFonts w:ascii="Arial" w:hAnsi="Arial" w:cs="Arial"/>
        </w:rPr>
        <w:t>27.95</w:t>
      </w:r>
      <w:r w:rsidRPr="0066219F">
        <w:rPr>
          <w:rFonts w:ascii="Arial" w:hAnsi="Arial" w:cs="Arial"/>
        </w:rPr>
        <w:t xml:space="preserve"> </w:t>
      </w:r>
    </w:p>
    <w:p w14:paraId="2124FFC5" w14:textId="77777777" w:rsidR="00BF1A1B" w:rsidRPr="0066219F" w:rsidRDefault="00BF1A1B" w:rsidP="00BF1A1B">
      <w:pPr>
        <w:tabs>
          <w:tab w:val="left" w:pos="1089"/>
        </w:tabs>
        <w:rPr>
          <w:rFonts w:ascii="Arial" w:hAnsi="Arial" w:cs="Arial"/>
        </w:rPr>
      </w:pPr>
      <w:r w:rsidRPr="0066219F">
        <w:rPr>
          <w:rFonts w:ascii="Arial" w:hAnsi="Arial" w:cs="Arial"/>
        </w:rPr>
        <w:t>** Where a non-household premises does not discharge surface water to our sewers, an abatement can be claimed based on pipe size.</w:t>
      </w:r>
    </w:p>
    <w:bookmarkEnd w:id="0"/>
    <w:p w14:paraId="1FF5902E" w14:textId="370AB866" w:rsidR="006523AA" w:rsidRDefault="006523AA">
      <w:pPr>
        <w:rPr>
          <w:rFonts w:ascii="Arial" w:hAnsi="Arial" w:cs="Arial"/>
        </w:rPr>
      </w:pPr>
      <w:r>
        <w:rPr>
          <w:rFonts w:ascii="Arial" w:hAnsi="Arial" w:cs="Arial"/>
        </w:rPr>
        <w:br w:type="page"/>
      </w:r>
    </w:p>
    <w:p w14:paraId="61FED39F" w14:textId="0C6FC13B" w:rsidR="00A52962" w:rsidRDefault="00A52962" w:rsidP="00677918">
      <w:pPr>
        <w:tabs>
          <w:tab w:val="left" w:pos="1089"/>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08416" behindDoc="0" locked="0" layoutInCell="1" allowOverlap="1" wp14:anchorId="781E1DA4" wp14:editId="2C77180E">
                <wp:simplePos x="0" y="0"/>
                <wp:positionH relativeFrom="column">
                  <wp:posOffset>-842838</wp:posOffset>
                </wp:positionH>
                <wp:positionV relativeFrom="paragraph">
                  <wp:posOffset>-72197</wp:posOffset>
                </wp:positionV>
                <wp:extent cx="7418070" cy="361666"/>
                <wp:effectExtent l="0" t="0" r="0" b="635"/>
                <wp:wrapNone/>
                <wp:docPr id="3" name="Text Box 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B0312D5" w14:textId="22E0D64B" w:rsidR="007A7A0C" w:rsidRPr="004616F3" w:rsidRDefault="007A7A0C" w:rsidP="00A52962">
                            <w:pPr>
                              <w:pStyle w:val="NoSpacing"/>
                              <w:rPr>
                                <w:rFonts w:ascii="Arial" w:hAnsi="Arial" w:cs="Arial"/>
                                <w:color w:val="FFFFFF" w:themeColor="background1"/>
                                <w:sz w:val="32"/>
                              </w:rPr>
                            </w:pPr>
                            <w:r>
                              <w:rPr>
                                <w:rFonts w:ascii="Arial" w:hAnsi="Arial" w:cs="Arial"/>
                                <w:color w:val="FFFFFF" w:themeColor="background1"/>
                                <w:sz w:val="32"/>
                              </w:rPr>
                              <w:t>B.1.4 Assessed household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1DA4" id="Text Box 3" o:spid="_x0000_s1046" type="#_x0000_t202" style="position:absolute;margin-left:-66.35pt;margin-top:-5.7pt;width:584.1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" fillcolor="#069" stroked="f" strokeweight=".5pt">
                <v:textbox>
                  <w:txbxContent>
                    <w:p w14:paraId="4B0312D5" w14:textId="22E0D64B" w:rsidR="007A7A0C" w:rsidRPr="004616F3" w:rsidRDefault="007A7A0C" w:rsidP="00A52962">
                      <w:pPr>
                        <w:pStyle w:val="NoSpacing"/>
                        <w:rPr>
                          <w:rFonts w:ascii="Arial" w:hAnsi="Arial" w:cs="Arial"/>
                          <w:color w:val="FFFFFF" w:themeColor="background1"/>
                          <w:sz w:val="32"/>
                        </w:rPr>
                      </w:pPr>
                      <w:r>
                        <w:rPr>
                          <w:rFonts w:ascii="Arial" w:hAnsi="Arial" w:cs="Arial"/>
                          <w:color w:val="FFFFFF" w:themeColor="background1"/>
                          <w:sz w:val="32"/>
                        </w:rPr>
                        <w:t>B.1.4 Assessed household charge</w:t>
                      </w:r>
                    </w:p>
                  </w:txbxContent>
                </v:textbox>
              </v:shape>
            </w:pict>
          </mc:Fallback>
        </mc:AlternateContent>
      </w:r>
    </w:p>
    <w:p w14:paraId="36549913" w14:textId="1F50C43D" w:rsidR="00A52962" w:rsidRDefault="00A52962" w:rsidP="00A52962">
      <w:pPr>
        <w:rPr>
          <w:rFonts w:ascii="Arial" w:hAnsi="Arial" w:cs="Arial"/>
        </w:rPr>
      </w:pPr>
    </w:p>
    <w:p w14:paraId="20B3F208" w14:textId="77777777" w:rsidR="005E059D" w:rsidRDefault="005E059D">
      <w:pPr>
        <w:pStyle w:val="Default"/>
        <w:rPr>
          <w:sz w:val="22"/>
          <w:szCs w:val="22"/>
        </w:rPr>
      </w:pPr>
      <w:r>
        <w:rPr>
          <w:sz w:val="22"/>
          <w:szCs w:val="22"/>
        </w:rPr>
        <w:t xml:space="preserve">Where the assessed household charge is payable, it will be calculated on the basis set out below. </w:t>
      </w:r>
    </w:p>
    <w:p w14:paraId="3258D5B4" w14:textId="77777777" w:rsidR="005E059D" w:rsidRDefault="005E059D">
      <w:pPr>
        <w:pStyle w:val="Default"/>
        <w:rPr>
          <w:sz w:val="22"/>
          <w:szCs w:val="22"/>
        </w:rPr>
      </w:pPr>
      <w:r>
        <w:rPr>
          <w:sz w:val="22"/>
          <w:szCs w:val="22"/>
        </w:rPr>
        <w:t xml:space="preserve">Household Assessed premises receive the following charges: </w:t>
      </w:r>
    </w:p>
    <w:p w14:paraId="150B2818" w14:textId="2A936639" w:rsidR="005E059D" w:rsidRDefault="005E059D">
      <w:pPr>
        <w:pStyle w:val="Default"/>
        <w:rPr>
          <w:sz w:val="22"/>
          <w:szCs w:val="22"/>
        </w:rPr>
      </w:pPr>
    </w:p>
    <w:p w14:paraId="680DE20E" w14:textId="77777777" w:rsidR="005E059D" w:rsidRDefault="005E059D">
      <w:pPr>
        <w:pStyle w:val="Default"/>
        <w:rPr>
          <w:sz w:val="22"/>
          <w:szCs w:val="22"/>
        </w:rPr>
      </w:pPr>
      <w:r>
        <w:rPr>
          <w:sz w:val="22"/>
          <w:szCs w:val="22"/>
        </w:rPr>
        <w:t xml:space="preserve">• Fixed charge (full or abated) for wastewater services (charge is fixed for all households) </w:t>
      </w:r>
    </w:p>
    <w:p w14:paraId="3A8997E8" w14:textId="60DF3F29" w:rsidR="005E059D" w:rsidRDefault="005E059D" w:rsidP="005E059D">
      <w:pPr>
        <w:pStyle w:val="Default"/>
        <w:rPr>
          <w:sz w:val="22"/>
          <w:szCs w:val="22"/>
        </w:rPr>
      </w:pPr>
      <w:r>
        <w:rPr>
          <w:sz w:val="22"/>
          <w:szCs w:val="22"/>
        </w:rPr>
        <w:t xml:space="preserve">• Variable charge for wastewater services (based on number of bedrooms/single occupier) </w:t>
      </w:r>
    </w:p>
    <w:p w14:paraId="6F86EFF8" w14:textId="77777777" w:rsidR="005E059D" w:rsidRDefault="005E059D" w:rsidP="005E059D">
      <w:pPr>
        <w:pStyle w:val="Default"/>
        <w:rPr>
          <w:sz w:val="22"/>
          <w:szCs w:val="22"/>
        </w:rPr>
      </w:pPr>
    </w:p>
    <w:tbl>
      <w:tblPr>
        <w:tblStyle w:val="TableGrid"/>
        <w:tblW w:w="8265" w:type="dxa"/>
        <w:tblInd w:w="375" w:type="dxa"/>
        <w:tblLook w:val="04A0" w:firstRow="1" w:lastRow="0" w:firstColumn="1" w:lastColumn="0" w:noHBand="0" w:noVBand="1"/>
      </w:tblPr>
      <w:tblGrid>
        <w:gridCol w:w="2568"/>
        <w:gridCol w:w="2946"/>
        <w:gridCol w:w="2751"/>
      </w:tblGrid>
      <w:tr w:rsidR="00896918" w14:paraId="59E2DE4C" w14:textId="77777777" w:rsidTr="006A1DF8">
        <w:trPr>
          <w:trHeight w:val="567"/>
        </w:trPr>
        <w:tc>
          <w:tcPr>
            <w:tcW w:w="2568" w:type="dxa"/>
            <w:shd w:val="clear" w:color="auto" w:fill="006699"/>
            <w:vAlign w:val="center"/>
          </w:tcPr>
          <w:p w14:paraId="6FE6661D" w14:textId="7492A5A3" w:rsidR="00896918" w:rsidRPr="006D706D" w:rsidRDefault="00896918" w:rsidP="00896918">
            <w:pPr>
              <w:jc w:val="center"/>
              <w:rPr>
                <w:rFonts w:ascii="Arial" w:hAnsi="Arial" w:cs="Arial"/>
                <w:b/>
                <w:color w:val="FFFFFF" w:themeColor="background1"/>
              </w:rPr>
            </w:pPr>
            <w:r w:rsidRPr="006A1DF8">
              <w:rPr>
                <w:rFonts w:ascii="Arial" w:hAnsi="Arial" w:cs="Arial"/>
                <w:b/>
                <w:color w:val="FFFFFF" w:themeColor="background1"/>
              </w:rPr>
              <w:t>Band</w:t>
            </w:r>
          </w:p>
        </w:tc>
        <w:tc>
          <w:tcPr>
            <w:tcW w:w="2946" w:type="dxa"/>
            <w:shd w:val="clear" w:color="auto" w:fill="006699"/>
            <w:vAlign w:val="center"/>
          </w:tcPr>
          <w:p w14:paraId="0F76095B" w14:textId="54C36128" w:rsidR="00896918" w:rsidRPr="006D706D" w:rsidRDefault="00896918" w:rsidP="00896918">
            <w:pPr>
              <w:jc w:val="center"/>
              <w:rPr>
                <w:rFonts w:ascii="Arial" w:hAnsi="Arial" w:cs="Arial"/>
                <w:b/>
                <w:color w:val="FFFFFF" w:themeColor="background1"/>
              </w:rPr>
            </w:pPr>
            <w:r w:rsidRPr="006D706D">
              <w:rPr>
                <w:rFonts w:ascii="Arial" w:hAnsi="Arial" w:cs="Arial"/>
                <w:b/>
                <w:color w:val="FFFFFF" w:themeColor="background1"/>
              </w:rPr>
              <w:t>Bedrooms</w:t>
            </w:r>
          </w:p>
        </w:tc>
        <w:tc>
          <w:tcPr>
            <w:tcW w:w="2751" w:type="dxa"/>
            <w:shd w:val="clear" w:color="auto" w:fill="006699"/>
            <w:vAlign w:val="center"/>
          </w:tcPr>
          <w:p w14:paraId="3E518EDF" w14:textId="0416DF1A" w:rsidR="00896918" w:rsidRPr="006D706D" w:rsidRDefault="00896918" w:rsidP="00896918">
            <w:pPr>
              <w:jc w:val="center"/>
              <w:rPr>
                <w:rFonts w:ascii="Arial" w:hAnsi="Arial" w:cs="Arial"/>
                <w:b/>
                <w:color w:val="FFFFFF" w:themeColor="background1"/>
              </w:rPr>
            </w:pPr>
            <w:r>
              <w:rPr>
                <w:rFonts w:ascii="Arial" w:hAnsi="Arial" w:cs="Arial"/>
                <w:b/>
                <w:color w:val="FFFFFF" w:themeColor="background1"/>
              </w:rPr>
              <w:t>Waste water</w:t>
            </w:r>
          </w:p>
        </w:tc>
      </w:tr>
      <w:tr w:rsidR="00896918" w14:paraId="31C04385" w14:textId="77777777" w:rsidTr="006A1DF8">
        <w:trPr>
          <w:trHeight w:val="567"/>
        </w:trPr>
        <w:tc>
          <w:tcPr>
            <w:tcW w:w="2568" w:type="dxa"/>
            <w:shd w:val="clear" w:color="auto" w:fill="auto"/>
            <w:vAlign w:val="center"/>
          </w:tcPr>
          <w:p w14:paraId="11C8BD46" w14:textId="6785527B" w:rsidR="00896918" w:rsidRDefault="00896918" w:rsidP="00896918">
            <w:pPr>
              <w:jc w:val="center"/>
              <w:rPr>
                <w:rFonts w:ascii="Arial" w:hAnsi="Arial" w:cs="Arial"/>
              </w:rPr>
            </w:pPr>
            <w:r>
              <w:rPr>
                <w:rFonts w:ascii="Arial" w:hAnsi="Arial" w:cs="Arial"/>
              </w:rPr>
              <w:t>1</w:t>
            </w:r>
          </w:p>
        </w:tc>
        <w:tc>
          <w:tcPr>
            <w:tcW w:w="2946" w:type="dxa"/>
            <w:vAlign w:val="center"/>
          </w:tcPr>
          <w:p w14:paraId="3FD25B02" w14:textId="6C407E8E" w:rsidR="00896918" w:rsidRDefault="00896918" w:rsidP="00896918">
            <w:pPr>
              <w:jc w:val="center"/>
              <w:rPr>
                <w:rFonts w:ascii="Arial" w:hAnsi="Arial" w:cs="Arial"/>
              </w:rPr>
            </w:pPr>
            <w:r>
              <w:rPr>
                <w:rFonts w:ascii="Arial" w:hAnsi="Arial" w:cs="Arial"/>
              </w:rPr>
              <w:t>0/1 Bedroom</w:t>
            </w:r>
          </w:p>
        </w:tc>
        <w:tc>
          <w:tcPr>
            <w:tcW w:w="2751" w:type="dxa"/>
            <w:vAlign w:val="center"/>
          </w:tcPr>
          <w:p w14:paraId="03FA3B44" w14:textId="77AB04B5" w:rsidR="00896918" w:rsidRDefault="00896918" w:rsidP="005E059D">
            <w:pPr>
              <w:jc w:val="center"/>
              <w:rPr>
                <w:rFonts w:ascii="Arial" w:hAnsi="Arial" w:cs="Arial"/>
              </w:rPr>
            </w:pPr>
            <w:r>
              <w:rPr>
                <w:rFonts w:ascii="Arial" w:hAnsi="Arial" w:cs="Arial"/>
              </w:rPr>
              <w:t>£</w:t>
            </w:r>
            <w:r w:rsidR="00A27B29">
              <w:rPr>
                <w:rFonts w:ascii="Arial" w:hAnsi="Arial" w:cs="Arial"/>
              </w:rPr>
              <w:t>91.05</w:t>
            </w:r>
          </w:p>
        </w:tc>
      </w:tr>
      <w:tr w:rsidR="00896918" w14:paraId="033FE523" w14:textId="77777777" w:rsidTr="006A1DF8">
        <w:trPr>
          <w:trHeight w:val="567"/>
        </w:trPr>
        <w:tc>
          <w:tcPr>
            <w:tcW w:w="2568" w:type="dxa"/>
            <w:shd w:val="clear" w:color="auto" w:fill="auto"/>
            <w:vAlign w:val="center"/>
          </w:tcPr>
          <w:p w14:paraId="1200DE06" w14:textId="213BE030" w:rsidR="00896918" w:rsidRDefault="00896918" w:rsidP="00896918">
            <w:pPr>
              <w:jc w:val="center"/>
              <w:rPr>
                <w:rFonts w:ascii="Arial" w:hAnsi="Arial" w:cs="Arial"/>
              </w:rPr>
            </w:pPr>
            <w:r>
              <w:rPr>
                <w:rFonts w:ascii="Arial" w:hAnsi="Arial" w:cs="Arial"/>
              </w:rPr>
              <w:t>2</w:t>
            </w:r>
          </w:p>
        </w:tc>
        <w:tc>
          <w:tcPr>
            <w:tcW w:w="2946" w:type="dxa"/>
            <w:vAlign w:val="center"/>
          </w:tcPr>
          <w:p w14:paraId="51145ED7" w14:textId="2881AAC6" w:rsidR="00896918" w:rsidRDefault="00896918" w:rsidP="00896918">
            <w:pPr>
              <w:jc w:val="center"/>
              <w:rPr>
                <w:rFonts w:ascii="Arial" w:hAnsi="Arial" w:cs="Arial"/>
              </w:rPr>
            </w:pPr>
            <w:r>
              <w:rPr>
                <w:rFonts w:ascii="Arial" w:hAnsi="Arial" w:cs="Arial"/>
              </w:rPr>
              <w:t>2 Bedrooms</w:t>
            </w:r>
          </w:p>
        </w:tc>
        <w:tc>
          <w:tcPr>
            <w:tcW w:w="2751" w:type="dxa"/>
            <w:vAlign w:val="center"/>
          </w:tcPr>
          <w:p w14:paraId="15875120" w14:textId="0643DBBB" w:rsidR="00896918" w:rsidRDefault="00896918" w:rsidP="005E059D">
            <w:pPr>
              <w:jc w:val="center"/>
              <w:rPr>
                <w:rFonts w:ascii="Arial" w:hAnsi="Arial" w:cs="Arial"/>
              </w:rPr>
            </w:pPr>
            <w:r>
              <w:rPr>
                <w:rFonts w:ascii="Arial" w:hAnsi="Arial" w:cs="Arial"/>
              </w:rPr>
              <w:t>£</w:t>
            </w:r>
            <w:r w:rsidR="00712644">
              <w:rPr>
                <w:rFonts w:ascii="Arial" w:hAnsi="Arial" w:cs="Arial"/>
              </w:rPr>
              <w:t>99.17</w:t>
            </w:r>
          </w:p>
        </w:tc>
      </w:tr>
      <w:tr w:rsidR="00896918" w14:paraId="1AC6C0E8" w14:textId="77777777" w:rsidTr="006A1DF8">
        <w:trPr>
          <w:trHeight w:val="567"/>
        </w:trPr>
        <w:tc>
          <w:tcPr>
            <w:tcW w:w="2568" w:type="dxa"/>
            <w:shd w:val="clear" w:color="auto" w:fill="auto"/>
            <w:vAlign w:val="center"/>
          </w:tcPr>
          <w:p w14:paraId="5DCB1168" w14:textId="71F00D51" w:rsidR="00896918" w:rsidRDefault="00896918" w:rsidP="00896918">
            <w:pPr>
              <w:jc w:val="center"/>
              <w:rPr>
                <w:rFonts w:ascii="Arial" w:hAnsi="Arial" w:cs="Arial"/>
              </w:rPr>
            </w:pPr>
            <w:r>
              <w:rPr>
                <w:rFonts w:ascii="Arial" w:hAnsi="Arial" w:cs="Arial"/>
              </w:rPr>
              <w:t>3</w:t>
            </w:r>
          </w:p>
        </w:tc>
        <w:tc>
          <w:tcPr>
            <w:tcW w:w="2946" w:type="dxa"/>
            <w:vAlign w:val="center"/>
          </w:tcPr>
          <w:p w14:paraId="2E25A776" w14:textId="23A33C2B" w:rsidR="00896918" w:rsidRDefault="00896918" w:rsidP="00896918">
            <w:pPr>
              <w:jc w:val="center"/>
              <w:rPr>
                <w:rFonts w:ascii="Arial" w:hAnsi="Arial" w:cs="Arial"/>
              </w:rPr>
            </w:pPr>
            <w:r>
              <w:rPr>
                <w:rFonts w:ascii="Arial" w:hAnsi="Arial" w:cs="Arial"/>
              </w:rPr>
              <w:t>3 Bedrooms</w:t>
            </w:r>
          </w:p>
        </w:tc>
        <w:tc>
          <w:tcPr>
            <w:tcW w:w="2751" w:type="dxa"/>
            <w:vAlign w:val="center"/>
          </w:tcPr>
          <w:p w14:paraId="75961C40" w14:textId="743EEF2C" w:rsidR="00896918" w:rsidRDefault="00896918" w:rsidP="005E059D">
            <w:pPr>
              <w:jc w:val="center"/>
              <w:rPr>
                <w:rFonts w:ascii="Arial" w:hAnsi="Arial" w:cs="Arial"/>
              </w:rPr>
            </w:pPr>
            <w:r>
              <w:rPr>
                <w:rFonts w:ascii="Arial" w:hAnsi="Arial" w:cs="Arial"/>
              </w:rPr>
              <w:t>£</w:t>
            </w:r>
            <w:r w:rsidR="00712644">
              <w:rPr>
                <w:rFonts w:ascii="Arial" w:hAnsi="Arial" w:cs="Arial"/>
              </w:rPr>
              <w:t>114.39</w:t>
            </w:r>
          </w:p>
        </w:tc>
      </w:tr>
      <w:tr w:rsidR="00896918" w14:paraId="1FAD420F" w14:textId="77777777" w:rsidTr="006A1DF8">
        <w:trPr>
          <w:trHeight w:val="567"/>
        </w:trPr>
        <w:tc>
          <w:tcPr>
            <w:tcW w:w="2568" w:type="dxa"/>
            <w:shd w:val="clear" w:color="auto" w:fill="auto"/>
            <w:vAlign w:val="center"/>
          </w:tcPr>
          <w:p w14:paraId="6E8B336D" w14:textId="11146822" w:rsidR="00896918" w:rsidRDefault="00896918" w:rsidP="00896918">
            <w:pPr>
              <w:jc w:val="center"/>
              <w:rPr>
                <w:rFonts w:ascii="Arial" w:hAnsi="Arial" w:cs="Arial"/>
              </w:rPr>
            </w:pPr>
            <w:r>
              <w:rPr>
                <w:rFonts w:ascii="Arial" w:hAnsi="Arial" w:cs="Arial"/>
              </w:rPr>
              <w:t>4</w:t>
            </w:r>
          </w:p>
        </w:tc>
        <w:tc>
          <w:tcPr>
            <w:tcW w:w="2946" w:type="dxa"/>
            <w:vAlign w:val="center"/>
          </w:tcPr>
          <w:p w14:paraId="0C65768B" w14:textId="10588FE0" w:rsidR="00896918" w:rsidRDefault="00896918" w:rsidP="00896918">
            <w:pPr>
              <w:jc w:val="center"/>
              <w:rPr>
                <w:rFonts w:ascii="Arial" w:hAnsi="Arial" w:cs="Arial"/>
              </w:rPr>
            </w:pPr>
            <w:r>
              <w:rPr>
                <w:rFonts w:ascii="Arial" w:hAnsi="Arial" w:cs="Arial"/>
              </w:rPr>
              <w:t>4 Bedrooms</w:t>
            </w:r>
          </w:p>
        </w:tc>
        <w:tc>
          <w:tcPr>
            <w:tcW w:w="2751" w:type="dxa"/>
            <w:vAlign w:val="center"/>
          </w:tcPr>
          <w:p w14:paraId="2B816FDD" w14:textId="7E88A85D" w:rsidR="00896918" w:rsidRDefault="00896918" w:rsidP="005E059D">
            <w:pPr>
              <w:jc w:val="center"/>
              <w:rPr>
                <w:rFonts w:ascii="Arial" w:hAnsi="Arial" w:cs="Arial"/>
              </w:rPr>
            </w:pPr>
            <w:r>
              <w:rPr>
                <w:rFonts w:ascii="Arial" w:hAnsi="Arial" w:cs="Arial"/>
              </w:rPr>
              <w:t>£</w:t>
            </w:r>
            <w:r w:rsidR="00712644">
              <w:rPr>
                <w:rFonts w:ascii="Arial" w:hAnsi="Arial" w:cs="Arial"/>
              </w:rPr>
              <w:t>126.51</w:t>
            </w:r>
          </w:p>
        </w:tc>
      </w:tr>
      <w:tr w:rsidR="00896918" w14:paraId="0802B82E" w14:textId="77777777" w:rsidTr="006A1DF8">
        <w:trPr>
          <w:trHeight w:val="567"/>
        </w:trPr>
        <w:tc>
          <w:tcPr>
            <w:tcW w:w="2568" w:type="dxa"/>
            <w:shd w:val="clear" w:color="auto" w:fill="auto"/>
            <w:vAlign w:val="center"/>
          </w:tcPr>
          <w:p w14:paraId="6CC531D2" w14:textId="277BD337" w:rsidR="00896918" w:rsidRDefault="00896918" w:rsidP="00896918">
            <w:pPr>
              <w:jc w:val="center"/>
              <w:rPr>
                <w:rFonts w:ascii="Arial" w:hAnsi="Arial" w:cs="Arial"/>
              </w:rPr>
            </w:pPr>
            <w:r>
              <w:rPr>
                <w:rFonts w:ascii="Arial" w:hAnsi="Arial" w:cs="Arial"/>
              </w:rPr>
              <w:t>5</w:t>
            </w:r>
          </w:p>
        </w:tc>
        <w:tc>
          <w:tcPr>
            <w:tcW w:w="2946" w:type="dxa"/>
            <w:vAlign w:val="center"/>
          </w:tcPr>
          <w:p w14:paraId="32F31C3B" w14:textId="41B0D20C" w:rsidR="00896918" w:rsidRDefault="00896918" w:rsidP="00896918">
            <w:pPr>
              <w:jc w:val="center"/>
              <w:rPr>
                <w:rFonts w:ascii="Arial" w:hAnsi="Arial" w:cs="Arial"/>
              </w:rPr>
            </w:pPr>
            <w:r>
              <w:rPr>
                <w:rFonts w:ascii="Arial" w:hAnsi="Arial" w:cs="Arial"/>
              </w:rPr>
              <w:t>5 or more Bedrooms</w:t>
            </w:r>
          </w:p>
        </w:tc>
        <w:tc>
          <w:tcPr>
            <w:tcW w:w="2751" w:type="dxa"/>
            <w:vAlign w:val="center"/>
          </w:tcPr>
          <w:p w14:paraId="338ECAB1" w14:textId="430C50D4" w:rsidR="00896918" w:rsidRDefault="00896918" w:rsidP="005E059D">
            <w:pPr>
              <w:jc w:val="center"/>
              <w:rPr>
                <w:rFonts w:ascii="Arial" w:hAnsi="Arial" w:cs="Arial"/>
              </w:rPr>
            </w:pPr>
            <w:r>
              <w:rPr>
                <w:rFonts w:ascii="Arial" w:hAnsi="Arial" w:cs="Arial"/>
              </w:rPr>
              <w:t>£</w:t>
            </w:r>
            <w:r w:rsidR="00712644">
              <w:rPr>
                <w:rFonts w:ascii="Arial" w:hAnsi="Arial" w:cs="Arial"/>
              </w:rPr>
              <w:t>142.64</w:t>
            </w:r>
          </w:p>
        </w:tc>
      </w:tr>
      <w:tr w:rsidR="00896918" w14:paraId="0BA16617" w14:textId="77777777" w:rsidTr="006A1DF8">
        <w:trPr>
          <w:trHeight w:val="567"/>
        </w:trPr>
        <w:tc>
          <w:tcPr>
            <w:tcW w:w="2568" w:type="dxa"/>
            <w:shd w:val="clear" w:color="auto" w:fill="auto"/>
            <w:vAlign w:val="center"/>
          </w:tcPr>
          <w:p w14:paraId="1C54A456" w14:textId="67261F2A" w:rsidR="00896918" w:rsidRDefault="00896918" w:rsidP="00896918">
            <w:pPr>
              <w:jc w:val="center"/>
              <w:rPr>
                <w:rFonts w:ascii="Arial" w:hAnsi="Arial" w:cs="Arial"/>
              </w:rPr>
            </w:pPr>
            <w:r>
              <w:rPr>
                <w:rFonts w:ascii="Arial" w:hAnsi="Arial" w:cs="Arial"/>
              </w:rPr>
              <w:t>6</w:t>
            </w:r>
          </w:p>
        </w:tc>
        <w:tc>
          <w:tcPr>
            <w:tcW w:w="2946" w:type="dxa"/>
            <w:vAlign w:val="center"/>
          </w:tcPr>
          <w:p w14:paraId="6B9A8BAE" w14:textId="69CCBBFB" w:rsidR="00896918" w:rsidRDefault="00896918" w:rsidP="00896918">
            <w:pPr>
              <w:jc w:val="center"/>
              <w:rPr>
                <w:rFonts w:ascii="Arial" w:hAnsi="Arial" w:cs="Arial"/>
              </w:rPr>
            </w:pPr>
            <w:r>
              <w:rPr>
                <w:rFonts w:ascii="Arial" w:hAnsi="Arial" w:cs="Arial"/>
              </w:rPr>
              <w:t>Single Occupier*</w:t>
            </w:r>
          </w:p>
        </w:tc>
        <w:tc>
          <w:tcPr>
            <w:tcW w:w="2751" w:type="dxa"/>
            <w:vAlign w:val="center"/>
          </w:tcPr>
          <w:p w14:paraId="22ED7B56" w14:textId="79D031A4" w:rsidR="00896918" w:rsidRDefault="00896918" w:rsidP="005E059D">
            <w:pPr>
              <w:jc w:val="center"/>
              <w:rPr>
                <w:rFonts w:ascii="Arial" w:hAnsi="Arial" w:cs="Arial"/>
              </w:rPr>
            </w:pPr>
            <w:r>
              <w:rPr>
                <w:rFonts w:ascii="Arial" w:hAnsi="Arial" w:cs="Arial"/>
              </w:rPr>
              <w:t>£</w:t>
            </w:r>
            <w:r w:rsidR="00712644">
              <w:rPr>
                <w:rFonts w:ascii="Arial" w:hAnsi="Arial" w:cs="Arial"/>
              </w:rPr>
              <w:t>73.42</w:t>
            </w:r>
          </w:p>
        </w:tc>
      </w:tr>
    </w:tbl>
    <w:p w14:paraId="38909838" w14:textId="16403CA2" w:rsidR="007C5703" w:rsidRDefault="007C5703" w:rsidP="00A52962">
      <w:pPr>
        <w:rPr>
          <w:rFonts w:ascii="Arial" w:hAnsi="Arial" w:cs="Arial"/>
        </w:rPr>
      </w:pPr>
    </w:p>
    <w:p w14:paraId="4B8EAFA9" w14:textId="5121D2E8" w:rsidR="006D706D" w:rsidRDefault="006D706D" w:rsidP="00A52962">
      <w:pPr>
        <w:rPr>
          <w:rFonts w:ascii="Arial" w:hAnsi="Arial" w:cs="Arial"/>
        </w:rPr>
      </w:pPr>
      <w:r w:rsidRPr="006D706D">
        <w:rPr>
          <w:rFonts w:ascii="Arial" w:hAnsi="Arial" w:cs="Arial"/>
        </w:rPr>
        <w:t>In addition, the customer pays a fixed charge of £</w:t>
      </w:r>
      <w:r w:rsidR="00C6201E">
        <w:rPr>
          <w:rFonts w:ascii="Arial" w:hAnsi="Arial" w:cs="Arial"/>
        </w:rPr>
        <w:t>51.15</w:t>
      </w:r>
      <w:r w:rsidRPr="006D706D">
        <w:rPr>
          <w:rFonts w:ascii="Arial" w:hAnsi="Arial" w:cs="Arial"/>
        </w:rPr>
        <w:t xml:space="preserve"> for </w:t>
      </w:r>
      <w:proofErr w:type="gramStart"/>
      <w:r w:rsidR="00336421">
        <w:rPr>
          <w:rFonts w:ascii="Arial" w:hAnsi="Arial" w:cs="Arial"/>
        </w:rPr>
        <w:t>Waste water</w:t>
      </w:r>
      <w:proofErr w:type="gramEnd"/>
      <w:r w:rsidRPr="006D706D">
        <w:rPr>
          <w:rFonts w:ascii="Arial" w:hAnsi="Arial" w:cs="Arial"/>
        </w:rPr>
        <w:t xml:space="preserve"> (£</w:t>
      </w:r>
      <w:r w:rsidR="004D4538">
        <w:rPr>
          <w:rFonts w:ascii="Arial" w:hAnsi="Arial" w:cs="Arial"/>
        </w:rPr>
        <w:t xml:space="preserve">18.69 </w:t>
      </w:r>
      <w:r w:rsidRPr="006D706D">
        <w:rPr>
          <w:rFonts w:ascii="Arial" w:hAnsi="Arial" w:cs="Arial"/>
        </w:rPr>
        <w:t xml:space="preserve">for abated </w:t>
      </w:r>
      <w:r w:rsidR="00336421">
        <w:rPr>
          <w:rFonts w:ascii="Arial" w:hAnsi="Arial" w:cs="Arial"/>
        </w:rPr>
        <w:t>Waste water</w:t>
      </w:r>
      <w:r w:rsidRPr="006D706D">
        <w:rPr>
          <w:rFonts w:ascii="Arial" w:hAnsi="Arial" w:cs="Arial"/>
        </w:rPr>
        <w:t>) as detailed in Table B.</w:t>
      </w:r>
      <w:r>
        <w:rPr>
          <w:rFonts w:ascii="Arial" w:hAnsi="Arial" w:cs="Arial"/>
        </w:rPr>
        <w:t>1.</w:t>
      </w:r>
      <w:r w:rsidR="00B1000B">
        <w:rPr>
          <w:rFonts w:ascii="Arial" w:hAnsi="Arial" w:cs="Arial"/>
        </w:rPr>
        <w:t>4</w:t>
      </w:r>
      <w:r w:rsidRPr="006D706D">
        <w:rPr>
          <w:rFonts w:ascii="Arial" w:hAnsi="Arial" w:cs="Arial"/>
        </w:rPr>
        <w:t xml:space="preserve"> Fixed charges - unmetered per year above. </w:t>
      </w:r>
    </w:p>
    <w:p w14:paraId="75563A3B" w14:textId="068E6EE3" w:rsidR="006D706D" w:rsidRDefault="006D706D" w:rsidP="00A52962">
      <w:pPr>
        <w:rPr>
          <w:rFonts w:ascii="Arial" w:hAnsi="Arial" w:cs="Arial"/>
        </w:rPr>
      </w:pPr>
      <w:r w:rsidRPr="008A53D3">
        <w:rPr>
          <w:rFonts w:ascii="Arial" w:hAnsi="Arial" w:cs="Arial"/>
        </w:rPr>
        <w:t xml:space="preserve">* Single occupier – </w:t>
      </w:r>
      <w:proofErr w:type="spellStart"/>
      <w:r w:rsidRPr="008A53D3">
        <w:rPr>
          <w:rFonts w:ascii="Arial" w:hAnsi="Arial" w:cs="Arial"/>
        </w:rPr>
        <w:t>ie</w:t>
      </w:r>
      <w:proofErr w:type="spellEnd"/>
      <w:r w:rsidRPr="008A53D3">
        <w:rPr>
          <w:rFonts w:ascii="Arial" w:hAnsi="Arial" w:cs="Arial"/>
        </w:rPr>
        <w:t>, one person only. A single parent with children at the same address will not be classed as a single occupier. The single occupier charge applies provided County Water has received satisfactory confirmation that there is only one occupier.</w:t>
      </w:r>
      <w:r w:rsidRPr="006D706D">
        <w:rPr>
          <w:rFonts w:ascii="Arial" w:hAnsi="Arial" w:cs="Arial"/>
        </w:rPr>
        <w:t xml:space="preserve"> </w:t>
      </w:r>
    </w:p>
    <w:p w14:paraId="458319F9" w14:textId="44F8FFBD" w:rsidR="006D706D" w:rsidRDefault="006D706D" w:rsidP="00A52962">
      <w:pPr>
        <w:rPr>
          <w:rFonts w:ascii="Arial" w:hAnsi="Arial" w:cs="Arial"/>
        </w:rPr>
      </w:pPr>
      <w:r w:rsidRPr="006D706D">
        <w:rPr>
          <w:rFonts w:ascii="Arial" w:hAnsi="Arial" w:cs="Arial"/>
        </w:rPr>
        <w:t xml:space="preserve">Household Assessed premises receive the following charges: </w:t>
      </w:r>
    </w:p>
    <w:p w14:paraId="70A6B2A9" w14:textId="008C614F" w:rsidR="006D706D" w:rsidRDefault="006D706D" w:rsidP="00A52962">
      <w:pPr>
        <w:rPr>
          <w:rFonts w:ascii="Arial" w:hAnsi="Arial" w:cs="Arial"/>
        </w:rPr>
      </w:pPr>
      <w:r w:rsidRPr="006D706D">
        <w:rPr>
          <w:rFonts w:ascii="Arial" w:hAnsi="Arial" w:cs="Arial"/>
        </w:rPr>
        <w:sym w:font="Symbol" w:char="F0B7"/>
      </w:r>
      <w:r w:rsidRPr="006D706D">
        <w:rPr>
          <w:rFonts w:ascii="Arial" w:hAnsi="Arial" w:cs="Arial"/>
        </w:rPr>
        <w:t xml:space="preserve"> Fixed charge (full or abated) for </w:t>
      </w:r>
      <w:proofErr w:type="gramStart"/>
      <w:r w:rsidR="00336421">
        <w:rPr>
          <w:rFonts w:ascii="Arial" w:hAnsi="Arial" w:cs="Arial"/>
        </w:rPr>
        <w:t>waste water</w:t>
      </w:r>
      <w:proofErr w:type="gramEnd"/>
      <w:r w:rsidRPr="006D706D">
        <w:rPr>
          <w:rFonts w:ascii="Arial" w:hAnsi="Arial" w:cs="Arial"/>
        </w:rPr>
        <w:t xml:space="preserve"> services (charge is fixed for all households); </w:t>
      </w:r>
    </w:p>
    <w:p w14:paraId="756B7756" w14:textId="09574F20" w:rsidR="006D706D" w:rsidRDefault="006D706D" w:rsidP="00A52962">
      <w:pPr>
        <w:rPr>
          <w:rFonts w:ascii="Arial" w:hAnsi="Arial" w:cs="Arial"/>
        </w:rPr>
      </w:pPr>
      <w:r w:rsidRPr="006D706D">
        <w:rPr>
          <w:rFonts w:ascii="Arial" w:hAnsi="Arial" w:cs="Arial"/>
        </w:rPr>
        <w:sym w:font="Symbol" w:char="F0B7"/>
      </w:r>
      <w:r w:rsidRPr="006D706D">
        <w:rPr>
          <w:rFonts w:ascii="Arial" w:hAnsi="Arial" w:cs="Arial"/>
        </w:rPr>
        <w:t xml:space="preserve"> Variable charge for </w:t>
      </w:r>
      <w:proofErr w:type="gramStart"/>
      <w:r w:rsidR="00336421">
        <w:rPr>
          <w:rFonts w:ascii="Arial" w:hAnsi="Arial" w:cs="Arial"/>
        </w:rPr>
        <w:t>waste water</w:t>
      </w:r>
      <w:proofErr w:type="gramEnd"/>
      <w:r w:rsidRPr="006D706D">
        <w:rPr>
          <w:rFonts w:ascii="Arial" w:hAnsi="Arial" w:cs="Arial"/>
        </w:rPr>
        <w:t xml:space="preserve"> services (based on number of bedrooms/single occupier). </w:t>
      </w:r>
    </w:p>
    <w:p w14:paraId="3962D7A3" w14:textId="12EC0685" w:rsidR="006D706D" w:rsidRPr="008A53D3" w:rsidRDefault="006D706D" w:rsidP="00A52962">
      <w:pPr>
        <w:rPr>
          <w:rFonts w:ascii="Arial" w:hAnsi="Arial" w:cs="Arial"/>
        </w:rPr>
      </w:pPr>
      <w:r w:rsidRPr="008A53D3">
        <w:rPr>
          <w:rFonts w:ascii="Arial" w:hAnsi="Arial" w:cs="Arial"/>
        </w:rPr>
        <w:t>County Water reserves the right to transfer household customer</w:t>
      </w:r>
      <w:r w:rsidR="00CF0D7E">
        <w:rPr>
          <w:rFonts w:ascii="Arial" w:hAnsi="Arial" w:cs="Arial"/>
        </w:rPr>
        <w:t>s</w:t>
      </w:r>
      <w:r w:rsidRPr="008A53D3">
        <w:rPr>
          <w:rFonts w:ascii="Arial" w:hAnsi="Arial" w:cs="Arial"/>
        </w:rPr>
        <w:t xml:space="preserve"> from the assessed household charges listed in the table above to the no access charge (£</w:t>
      </w:r>
      <w:r w:rsidR="007F7C33">
        <w:rPr>
          <w:rFonts w:ascii="Arial" w:hAnsi="Arial" w:cs="Arial"/>
        </w:rPr>
        <w:t>245.72</w:t>
      </w:r>
      <w:r w:rsidRPr="008A53D3">
        <w:rPr>
          <w:rFonts w:ascii="Arial" w:hAnsi="Arial" w:cs="Arial"/>
        </w:rPr>
        <w:t xml:space="preserve"> </w:t>
      </w:r>
      <w:proofErr w:type="gramStart"/>
      <w:r w:rsidR="00336421" w:rsidRPr="008A53D3">
        <w:rPr>
          <w:rFonts w:ascii="Arial" w:hAnsi="Arial" w:cs="Arial"/>
        </w:rPr>
        <w:t>waste water</w:t>
      </w:r>
      <w:proofErr w:type="gramEnd"/>
      <w:r w:rsidRPr="008A53D3">
        <w:rPr>
          <w:rFonts w:ascii="Arial" w:hAnsi="Arial" w:cs="Arial"/>
        </w:rPr>
        <w:t>), where the household customer has denied access for the purpose of fitting, replacing, maintaining or reading a meter.</w:t>
      </w:r>
    </w:p>
    <w:p w14:paraId="27405CCC" w14:textId="6B34D27A" w:rsidR="006D706D" w:rsidRDefault="006D706D" w:rsidP="00A52962">
      <w:pPr>
        <w:rPr>
          <w:rFonts w:ascii="Arial" w:hAnsi="Arial" w:cs="Arial"/>
        </w:rPr>
      </w:pPr>
    </w:p>
    <w:p w14:paraId="647B8063" w14:textId="70F94FB8" w:rsidR="006D706D" w:rsidRDefault="006D706D" w:rsidP="00A52962">
      <w:pPr>
        <w:rPr>
          <w:rFonts w:ascii="Arial" w:hAnsi="Arial" w:cs="Arial"/>
        </w:rPr>
      </w:pPr>
    </w:p>
    <w:p w14:paraId="27744C6B" w14:textId="25BE88D4" w:rsidR="006D706D" w:rsidRDefault="006D706D" w:rsidP="00A52962">
      <w:pPr>
        <w:rPr>
          <w:rFonts w:ascii="Arial" w:hAnsi="Arial" w:cs="Arial"/>
        </w:rPr>
      </w:pPr>
    </w:p>
    <w:p w14:paraId="1993E6CA" w14:textId="77777777" w:rsidR="00C648B2" w:rsidRDefault="00C648B2" w:rsidP="00A52962">
      <w:pPr>
        <w:rPr>
          <w:rFonts w:ascii="Arial" w:hAnsi="Arial" w:cs="Arial"/>
        </w:rPr>
      </w:pPr>
    </w:p>
    <w:p w14:paraId="442B9101" w14:textId="5040C0DC" w:rsidR="006D706D" w:rsidRDefault="006D706D" w:rsidP="00A52962">
      <w:pPr>
        <w:rPr>
          <w:rFonts w:ascii="Arial" w:hAnsi="Arial" w:cs="Arial"/>
        </w:rPr>
      </w:pPr>
    </w:p>
    <w:p w14:paraId="2B45F1CE" w14:textId="3E3D9D1F" w:rsidR="008A53D3" w:rsidRDefault="008A53D3" w:rsidP="00A52962">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4560" behindDoc="0" locked="0" layoutInCell="1" allowOverlap="1" wp14:anchorId="5CC18E9E" wp14:editId="05674AF9">
                <wp:simplePos x="0" y="0"/>
                <wp:positionH relativeFrom="column">
                  <wp:posOffset>-847725</wp:posOffset>
                </wp:positionH>
                <wp:positionV relativeFrom="paragraph">
                  <wp:posOffset>-48260</wp:posOffset>
                </wp:positionV>
                <wp:extent cx="7418070" cy="361666"/>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CA482E0" w14:textId="0FA3EB78" w:rsidR="007A7A0C" w:rsidRPr="004616F3" w:rsidRDefault="007A7A0C" w:rsidP="008A53D3">
                            <w:pPr>
                              <w:pStyle w:val="NoSpacing"/>
                              <w:rPr>
                                <w:rFonts w:ascii="Arial" w:hAnsi="Arial" w:cs="Arial"/>
                                <w:color w:val="FFFFFF" w:themeColor="background1"/>
                                <w:sz w:val="32"/>
                              </w:rPr>
                            </w:pPr>
                            <w:r>
                              <w:rPr>
                                <w:rFonts w:ascii="Arial" w:hAnsi="Arial" w:cs="Arial"/>
                                <w:color w:val="FFFFFF" w:themeColor="background1"/>
                                <w:sz w:val="32"/>
                              </w:rPr>
                              <w:t xml:space="preserve">B.1.5 Business assessed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8E9E" id="Text Box 12" o:spid="_x0000_s1047" type="#_x0000_t202" style="position:absolute;margin-left:-66.75pt;margin-top:-3.8pt;width:584.1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" fillcolor="#069" stroked="f" strokeweight=".5pt">
                <v:textbox>
                  <w:txbxContent>
                    <w:p w14:paraId="2CA482E0" w14:textId="0FA3EB78" w:rsidR="007A7A0C" w:rsidRPr="004616F3" w:rsidRDefault="007A7A0C" w:rsidP="008A53D3">
                      <w:pPr>
                        <w:pStyle w:val="NoSpacing"/>
                        <w:rPr>
                          <w:rFonts w:ascii="Arial" w:hAnsi="Arial" w:cs="Arial"/>
                          <w:color w:val="FFFFFF" w:themeColor="background1"/>
                          <w:sz w:val="32"/>
                        </w:rPr>
                      </w:pPr>
                      <w:r>
                        <w:rPr>
                          <w:rFonts w:ascii="Arial" w:hAnsi="Arial" w:cs="Arial"/>
                          <w:color w:val="FFFFFF" w:themeColor="background1"/>
                          <w:sz w:val="32"/>
                        </w:rPr>
                        <w:t xml:space="preserve">B.1.5 Business assessed </w:t>
                      </w:r>
                    </w:p>
                  </w:txbxContent>
                </v:textbox>
              </v:shape>
            </w:pict>
          </mc:Fallback>
        </mc:AlternateContent>
      </w:r>
    </w:p>
    <w:p w14:paraId="2C3B53F8" w14:textId="77777777" w:rsidR="008A53D3" w:rsidRDefault="008A53D3" w:rsidP="00A52962">
      <w:pPr>
        <w:rPr>
          <w:rFonts w:ascii="Arial" w:hAnsi="Arial" w:cs="Arial"/>
        </w:rPr>
      </w:pPr>
    </w:p>
    <w:p w14:paraId="18393A68" w14:textId="792F740A" w:rsidR="00896918" w:rsidRDefault="008A53D3" w:rsidP="00A52962">
      <w:pPr>
        <w:rPr>
          <w:rFonts w:ascii="Arial" w:hAnsi="Arial" w:cs="Arial"/>
        </w:rPr>
      </w:pPr>
      <w:r w:rsidRPr="006A1DF8">
        <w:rPr>
          <w:rFonts w:ascii="Arial" w:hAnsi="Arial" w:cs="Arial"/>
        </w:rPr>
        <w:t xml:space="preserve">Where it is impractical or infeasible to meter non-household </w:t>
      </w:r>
      <w:r w:rsidR="00896918" w:rsidRPr="006A1DF8">
        <w:rPr>
          <w:rFonts w:ascii="Arial" w:hAnsi="Arial" w:cs="Arial"/>
        </w:rPr>
        <w:t>premises,</w:t>
      </w:r>
      <w:r w:rsidRPr="006A1DF8">
        <w:rPr>
          <w:rFonts w:ascii="Arial" w:hAnsi="Arial" w:cs="Arial"/>
        </w:rPr>
        <w:t xml:space="preserve"> we may assess water usage.</w:t>
      </w:r>
      <w:r w:rsidRPr="008A53D3">
        <w:rPr>
          <w:rFonts w:ascii="Arial" w:hAnsi="Arial" w:cs="Arial"/>
        </w:rPr>
        <w:t xml:space="preserve"> In this circumstance we will request information about the type of business, the industrial category of the business (SIC code) and how many people work at the site. Using this </w:t>
      </w:r>
      <w:r w:rsidR="00896918" w:rsidRPr="008A53D3">
        <w:rPr>
          <w:rFonts w:ascii="Arial" w:hAnsi="Arial" w:cs="Arial"/>
        </w:rPr>
        <w:t>information,</w:t>
      </w:r>
      <w:r w:rsidRPr="008A53D3">
        <w:rPr>
          <w:rFonts w:ascii="Arial" w:hAnsi="Arial" w:cs="Arial"/>
        </w:rPr>
        <w:t xml:space="preserve"> we will allocate the premises to one of the five bands of assessed charges as shown below. The assessed usage for the premises will be calculated by multiplying the number of full-time employees (or equivalent) by the assessed usage per employee (band 1-5) shown in the table below. </w:t>
      </w:r>
      <w:r w:rsidR="00B014CC" w:rsidRPr="00B014CC">
        <w:rPr>
          <w:rFonts w:ascii="Arial" w:hAnsi="Arial" w:cs="Arial"/>
        </w:rPr>
        <w:t xml:space="preserve">If the non-household customer is subject to Trade Effluent charging but no Trade Effluent meter is installed, assessed wastewater volumes will be split between domestic sewage and Trade Effluent by reference to </w:t>
      </w:r>
      <w:r w:rsidR="00B014CC" w:rsidRPr="00DF3069">
        <w:rPr>
          <w:rFonts w:ascii="Arial" w:hAnsi="Arial" w:cs="Arial"/>
        </w:rPr>
        <w:t>Section B.</w:t>
      </w:r>
      <w:r w:rsidR="00DF3069" w:rsidRPr="00DF3069">
        <w:rPr>
          <w:rFonts w:ascii="Arial" w:hAnsi="Arial" w:cs="Arial"/>
        </w:rPr>
        <w:t>2.8</w:t>
      </w:r>
      <w:r w:rsidR="00B014CC" w:rsidRPr="00DF3069">
        <w:rPr>
          <w:rFonts w:ascii="Arial" w:hAnsi="Arial" w:cs="Arial"/>
        </w:rPr>
        <w:t>.</w:t>
      </w:r>
    </w:p>
    <w:p w14:paraId="336F3394" w14:textId="77777777" w:rsidR="00896918" w:rsidRDefault="008A53D3" w:rsidP="00A52962">
      <w:pPr>
        <w:rPr>
          <w:rFonts w:ascii="Arial" w:hAnsi="Arial" w:cs="Arial"/>
        </w:rPr>
      </w:pPr>
      <w:r w:rsidRPr="008A53D3">
        <w:rPr>
          <w:rFonts w:ascii="Arial" w:hAnsi="Arial" w:cs="Arial"/>
        </w:rPr>
        <w:t xml:space="preserve">The volumetric charge to the premises is calculated by multiplying the assessed usage by the volumetric tariff. A business assessed wastewater fixed charge is payable in addition based on pipe size. </w:t>
      </w:r>
    </w:p>
    <w:p w14:paraId="5F33956E" w14:textId="58A92E1D" w:rsidR="008A53D3" w:rsidRDefault="008A53D3" w:rsidP="00A52962">
      <w:pPr>
        <w:rPr>
          <w:rFonts w:ascii="Arial" w:hAnsi="Arial" w:cs="Arial"/>
        </w:rPr>
      </w:pPr>
      <w:r w:rsidRPr="008A53D3">
        <w:rPr>
          <w:rFonts w:ascii="Arial" w:hAnsi="Arial" w:cs="Arial"/>
        </w:rPr>
        <w:t>If circumstances change, and this change affects the basis of the assessed charges, you should notify us and/or the market operator with the updated information as appropriate. You must update any change to the SIC code data held by the market operator directly. Should you become aware of other relevant changes (such as a change in the number of employees at the site, or the addition of catering facilities) you must submit these details to us using the relevant form (specified in the Wholesale Contract/Wholesale-Retail Code) within 30 business days of the date on which you became aware of the change.</w:t>
      </w:r>
    </w:p>
    <w:p w14:paraId="3CB6D82F" w14:textId="66D36744" w:rsidR="000051F5" w:rsidRDefault="008F34A2" w:rsidP="00A52962">
      <w:pPr>
        <w:rPr>
          <w:rFonts w:ascii="Arial" w:hAnsi="Arial" w:cs="Arial"/>
        </w:rPr>
      </w:pPr>
      <w:r>
        <w:rPr>
          <w:rFonts w:ascii="Arial" w:hAnsi="Arial" w:cs="Arial"/>
        </w:rPr>
        <w:t xml:space="preserve">Business Assessed premises are charged as follows: </w:t>
      </w:r>
    </w:p>
    <w:p w14:paraId="572D9B4E" w14:textId="0EE7EA92" w:rsidR="008F34A2" w:rsidRDefault="008F34A2" w:rsidP="008F34A2">
      <w:pPr>
        <w:pStyle w:val="ListParagraph"/>
        <w:numPr>
          <w:ilvl w:val="0"/>
          <w:numId w:val="10"/>
        </w:numPr>
        <w:rPr>
          <w:rFonts w:ascii="Arial" w:hAnsi="Arial" w:cs="Arial"/>
        </w:rPr>
      </w:pPr>
      <w:r>
        <w:rPr>
          <w:rFonts w:ascii="Arial" w:hAnsi="Arial" w:cs="Arial"/>
        </w:rPr>
        <w:t xml:space="preserve">Fixed charge (full or abated) for </w:t>
      </w:r>
      <w:proofErr w:type="gramStart"/>
      <w:r>
        <w:rPr>
          <w:rFonts w:ascii="Arial" w:hAnsi="Arial" w:cs="Arial"/>
        </w:rPr>
        <w:t>waste water</w:t>
      </w:r>
      <w:proofErr w:type="gramEnd"/>
      <w:r>
        <w:rPr>
          <w:rFonts w:ascii="Arial" w:hAnsi="Arial" w:cs="Arial"/>
        </w:rPr>
        <w:t xml:space="preserve"> services (charge varies by pipe size)</w:t>
      </w:r>
    </w:p>
    <w:p w14:paraId="721E9F47" w14:textId="09922C4C" w:rsidR="008F34A2" w:rsidRPr="008F34A2" w:rsidRDefault="008F34A2" w:rsidP="008F34A2">
      <w:pPr>
        <w:pStyle w:val="ListParagraph"/>
        <w:numPr>
          <w:ilvl w:val="0"/>
          <w:numId w:val="10"/>
        </w:numPr>
        <w:rPr>
          <w:rFonts w:ascii="Arial" w:hAnsi="Arial" w:cs="Arial"/>
        </w:rPr>
      </w:pPr>
      <w:r>
        <w:rPr>
          <w:rFonts w:ascii="Arial" w:hAnsi="Arial" w:cs="Arial"/>
        </w:rPr>
        <w:t xml:space="preserve">Variable charge for </w:t>
      </w:r>
      <w:proofErr w:type="gramStart"/>
      <w:r>
        <w:rPr>
          <w:rFonts w:ascii="Arial" w:hAnsi="Arial" w:cs="Arial"/>
        </w:rPr>
        <w:t>waste water</w:t>
      </w:r>
      <w:proofErr w:type="gramEnd"/>
      <w:r>
        <w:rPr>
          <w:rFonts w:ascii="Arial" w:hAnsi="Arial" w:cs="Arial"/>
        </w:rPr>
        <w:t xml:space="preserve"> services (based on assessed usage and volumetric unit rate)</w:t>
      </w:r>
    </w:p>
    <w:p w14:paraId="52E63A9F" w14:textId="3915844C" w:rsidR="008A53D3" w:rsidRDefault="00896918" w:rsidP="00A52962">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16608" behindDoc="0" locked="0" layoutInCell="1" allowOverlap="1" wp14:anchorId="4044D6CF" wp14:editId="245DBE85">
                <wp:simplePos x="0" y="0"/>
                <wp:positionH relativeFrom="column">
                  <wp:posOffset>-847725</wp:posOffset>
                </wp:positionH>
                <wp:positionV relativeFrom="paragraph">
                  <wp:posOffset>150495</wp:posOffset>
                </wp:positionV>
                <wp:extent cx="7418070" cy="361666"/>
                <wp:effectExtent l="0" t="0" r="0" b="635"/>
                <wp:wrapNone/>
                <wp:docPr id="25" name="Text Box 2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E9F82A8" w14:textId="27F690F5" w:rsidR="007A7A0C" w:rsidRPr="004616F3" w:rsidRDefault="007A7A0C" w:rsidP="00896918">
                            <w:pPr>
                              <w:pStyle w:val="NoSpacing"/>
                              <w:rPr>
                                <w:rFonts w:ascii="Arial" w:hAnsi="Arial" w:cs="Arial"/>
                                <w:color w:val="FFFFFF" w:themeColor="background1"/>
                                <w:sz w:val="32"/>
                              </w:rPr>
                            </w:pPr>
                            <w:r>
                              <w:rPr>
                                <w:rFonts w:ascii="Arial" w:hAnsi="Arial" w:cs="Arial"/>
                                <w:color w:val="FFFFFF" w:themeColor="background1"/>
                                <w:sz w:val="32"/>
                              </w:rPr>
                              <w:t xml:space="preserve">B.1.6 Business assessed bands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4D6CF" id="Text Box 25" o:spid="_x0000_s1048" type="#_x0000_t202" style="position:absolute;margin-left:-66.75pt;margin-top:11.85pt;width:584.1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" fillcolor="#069" stroked="f" strokeweight=".5pt">
                <v:textbox>
                  <w:txbxContent>
                    <w:p w14:paraId="2E9F82A8" w14:textId="27F690F5" w:rsidR="007A7A0C" w:rsidRPr="004616F3" w:rsidRDefault="007A7A0C" w:rsidP="00896918">
                      <w:pPr>
                        <w:pStyle w:val="NoSpacing"/>
                        <w:rPr>
                          <w:rFonts w:ascii="Arial" w:hAnsi="Arial" w:cs="Arial"/>
                          <w:color w:val="FFFFFF" w:themeColor="background1"/>
                          <w:sz w:val="32"/>
                        </w:rPr>
                      </w:pPr>
                      <w:r>
                        <w:rPr>
                          <w:rFonts w:ascii="Arial" w:hAnsi="Arial" w:cs="Arial"/>
                          <w:color w:val="FFFFFF" w:themeColor="background1"/>
                          <w:sz w:val="32"/>
                        </w:rPr>
                        <w:t xml:space="preserve">B.1.6 Business assessed bands </w:t>
                      </w:r>
                    </w:p>
                  </w:txbxContent>
                </v:textbox>
              </v:shape>
            </w:pict>
          </mc:Fallback>
        </mc:AlternateContent>
      </w:r>
    </w:p>
    <w:p w14:paraId="3FBCFCFA" w14:textId="51299A06" w:rsidR="008A53D3" w:rsidRDefault="008A53D3" w:rsidP="00A52962">
      <w:pPr>
        <w:rPr>
          <w:rFonts w:ascii="Arial" w:hAnsi="Arial" w:cs="Arial"/>
        </w:rPr>
      </w:pPr>
    </w:p>
    <w:p w14:paraId="4408F428" w14:textId="45E4267D" w:rsidR="008A53D3" w:rsidRDefault="008A53D3" w:rsidP="00A52962">
      <w:pPr>
        <w:rPr>
          <w:rFonts w:ascii="Arial" w:hAnsi="Arial" w:cs="Arial"/>
        </w:rPr>
      </w:pPr>
    </w:p>
    <w:tbl>
      <w:tblPr>
        <w:tblStyle w:val="TableGrid"/>
        <w:tblW w:w="11115" w:type="dxa"/>
        <w:tblInd w:w="-998" w:type="dxa"/>
        <w:tblLook w:val="04A0" w:firstRow="1" w:lastRow="0" w:firstColumn="1" w:lastColumn="0" w:noHBand="0" w:noVBand="1"/>
      </w:tblPr>
      <w:tblGrid>
        <w:gridCol w:w="4027"/>
        <w:gridCol w:w="766"/>
        <w:gridCol w:w="6322"/>
      </w:tblGrid>
      <w:tr w:rsidR="008F34A2" w14:paraId="65FF96A9" w14:textId="77777777" w:rsidTr="008F34A2">
        <w:trPr>
          <w:trHeight w:val="567"/>
        </w:trPr>
        <w:tc>
          <w:tcPr>
            <w:tcW w:w="4027" w:type="dxa"/>
            <w:shd w:val="clear" w:color="auto" w:fill="006699"/>
            <w:vAlign w:val="center"/>
          </w:tcPr>
          <w:p w14:paraId="559EC788" w14:textId="42F04FE9" w:rsidR="008F34A2" w:rsidRPr="006A1DF8" w:rsidRDefault="008F34A2" w:rsidP="008F34A2">
            <w:pPr>
              <w:jc w:val="center"/>
              <w:rPr>
                <w:rFonts w:ascii="Arial" w:hAnsi="Arial" w:cs="Arial"/>
                <w:b/>
                <w:color w:val="FFFFFF" w:themeColor="background1"/>
              </w:rPr>
            </w:pPr>
            <w:r>
              <w:rPr>
                <w:rFonts w:ascii="Arial" w:hAnsi="Arial" w:cs="Arial"/>
                <w:b/>
                <w:color w:val="FFFFFF" w:themeColor="background1"/>
              </w:rPr>
              <w:t xml:space="preserve">Business </w:t>
            </w:r>
            <w:proofErr w:type="spellStart"/>
            <w:r>
              <w:rPr>
                <w:rFonts w:ascii="Arial" w:hAnsi="Arial" w:cs="Arial"/>
                <w:b/>
                <w:color w:val="FFFFFF" w:themeColor="background1"/>
              </w:rPr>
              <w:t>tyoe</w:t>
            </w:r>
            <w:proofErr w:type="spellEnd"/>
          </w:p>
        </w:tc>
        <w:tc>
          <w:tcPr>
            <w:tcW w:w="766" w:type="dxa"/>
            <w:shd w:val="clear" w:color="auto" w:fill="006699"/>
            <w:vAlign w:val="center"/>
          </w:tcPr>
          <w:p w14:paraId="13C3646A" w14:textId="44DC61BF" w:rsidR="008F34A2" w:rsidRPr="006A1DF8" w:rsidRDefault="008F34A2" w:rsidP="00896918">
            <w:pPr>
              <w:jc w:val="center"/>
              <w:rPr>
                <w:rFonts w:ascii="Arial" w:hAnsi="Arial" w:cs="Arial"/>
                <w:b/>
                <w:color w:val="FFFFFF" w:themeColor="background1"/>
              </w:rPr>
            </w:pPr>
            <w:r w:rsidRPr="006A1DF8">
              <w:rPr>
                <w:rFonts w:ascii="Arial" w:hAnsi="Arial" w:cs="Arial"/>
                <w:b/>
                <w:color w:val="FFFFFF" w:themeColor="background1"/>
              </w:rPr>
              <w:t>Band</w:t>
            </w:r>
          </w:p>
        </w:tc>
        <w:tc>
          <w:tcPr>
            <w:tcW w:w="6322" w:type="dxa"/>
            <w:shd w:val="clear" w:color="auto" w:fill="006699"/>
            <w:vAlign w:val="center"/>
          </w:tcPr>
          <w:p w14:paraId="49EFF9CB" w14:textId="779CE0E5" w:rsidR="008F34A2" w:rsidRPr="006D706D" w:rsidRDefault="008F34A2" w:rsidP="00896918">
            <w:pPr>
              <w:jc w:val="center"/>
              <w:rPr>
                <w:rFonts w:ascii="Arial" w:hAnsi="Arial" w:cs="Arial"/>
                <w:b/>
                <w:color w:val="FFFFFF" w:themeColor="background1"/>
              </w:rPr>
            </w:pPr>
            <w:r>
              <w:rPr>
                <w:rFonts w:ascii="Arial" w:hAnsi="Arial" w:cs="Arial"/>
                <w:b/>
                <w:color w:val="FFFFFF" w:themeColor="background1"/>
              </w:rPr>
              <w:t>Assessed Usage per Full Time Employee (or equivalent)</w:t>
            </w:r>
          </w:p>
        </w:tc>
      </w:tr>
      <w:tr w:rsidR="008F34A2" w14:paraId="24640273" w14:textId="77777777" w:rsidTr="008F34A2">
        <w:trPr>
          <w:trHeight w:val="567"/>
        </w:trPr>
        <w:tc>
          <w:tcPr>
            <w:tcW w:w="4027" w:type="dxa"/>
            <w:vAlign w:val="center"/>
          </w:tcPr>
          <w:p w14:paraId="54C9FF28" w14:textId="57E2ABA5" w:rsidR="008F34A2" w:rsidRPr="006A1DF8" w:rsidRDefault="008F34A2" w:rsidP="008F34A2">
            <w:pPr>
              <w:jc w:val="center"/>
              <w:rPr>
                <w:rFonts w:ascii="Arial" w:hAnsi="Arial" w:cs="Arial"/>
              </w:rPr>
            </w:pPr>
            <w:r>
              <w:rPr>
                <w:rFonts w:ascii="Arial" w:hAnsi="Arial" w:cs="Arial"/>
              </w:rPr>
              <w:t>Shops, Offices, Doctors Surgeries</w:t>
            </w:r>
          </w:p>
        </w:tc>
        <w:tc>
          <w:tcPr>
            <w:tcW w:w="766" w:type="dxa"/>
            <w:shd w:val="clear" w:color="auto" w:fill="auto"/>
            <w:vAlign w:val="center"/>
          </w:tcPr>
          <w:p w14:paraId="1943C84F" w14:textId="4759A2DE" w:rsidR="008F34A2" w:rsidRPr="006A1DF8" w:rsidRDefault="008F34A2" w:rsidP="00896918">
            <w:pPr>
              <w:jc w:val="center"/>
              <w:rPr>
                <w:rFonts w:ascii="Arial" w:hAnsi="Arial" w:cs="Arial"/>
              </w:rPr>
            </w:pPr>
            <w:r w:rsidRPr="006A1DF8">
              <w:rPr>
                <w:rFonts w:ascii="Arial" w:hAnsi="Arial" w:cs="Arial"/>
              </w:rPr>
              <w:t>1</w:t>
            </w:r>
          </w:p>
        </w:tc>
        <w:tc>
          <w:tcPr>
            <w:tcW w:w="6322" w:type="dxa"/>
            <w:vAlign w:val="center"/>
          </w:tcPr>
          <w:p w14:paraId="58683C4A" w14:textId="006EB5DE" w:rsidR="008F34A2" w:rsidRPr="00896918" w:rsidRDefault="008F34A2" w:rsidP="00896918">
            <w:pPr>
              <w:jc w:val="center"/>
              <w:rPr>
                <w:rFonts w:ascii="Arial" w:hAnsi="Arial" w:cs="Arial"/>
              </w:rPr>
            </w:pPr>
            <w:r>
              <w:rPr>
                <w:rFonts w:ascii="Arial" w:hAnsi="Arial" w:cs="Arial"/>
              </w:rPr>
              <w:t>15 m</w:t>
            </w:r>
            <w:r w:rsidRPr="00896918">
              <w:rPr>
                <w:rFonts w:ascii="Arial" w:hAnsi="Arial" w:cs="Arial"/>
                <w:vertAlign w:val="superscript"/>
              </w:rPr>
              <w:t>3</w:t>
            </w:r>
            <w:r>
              <w:rPr>
                <w:rFonts w:ascii="Arial" w:hAnsi="Arial" w:cs="Arial"/>
              </w:rPr>
              <w:t xml:space="preserve"> per year</w:t>
            </w:r>
          </w:p>
        </w:tc>
      </w:tr>
      <w:tr w:rsidR="008F34A2" w14:paraId="4C16D37E" w14:textId="77777777" w:rsidTr="008F34A2">
        <w:trPr>
          <w:trHeight w:val="567"/>
        </w:trPr>
        <w:tc>
          <w:tcPr>
            <w:tcW w:w="4027" w:type="dxa"/>
            <w:vAlign w:val="center"/>
          </w:tcPr>
          <w:p w14:paraId="319AC04A" w14:textId="32A3C1FC" w:rsidR="008F34A2" w:rsidRPr="006A1DF8" w:rsidRDefault="008F34A2" w:rsidP="008F34A2">
            <w:pPr>
              <w:jc w:val="center"/>
              <w:rPr>
                <w:rFonts w:ascii="Arial" w:hAnsi="Arial" w:cs="Arial"/>
              </w:rPr>
            </w:pPr>
            <w:r>
              <w:rPr>
                <w:rFonts w:ascii="Arial" w:hAnsi="Arial" w:cs="Arial"/>
              </w:rPr>
              <w:t>Hairdressers, Dental Practices, Takeaways</w:t>
            </w:r>
          </w:p>
        </w:tc>
        <w:tc>
          <w:tcPr>
            <w:tcW w:w="766" w:type="dxa"/>
            <w:shd w:val="clear" w:color="auto" w:fill="auto"/>
            <w:vAlign w:val="center"/>
          </w:tcPr>
          <w:p w14:paraId="2BBEA9DB" w14:textId="644E7992" w:rsidR="008F34A2" w:rsidRPr="006A1DF8" w:rsidRDefault="008F34A2" w:rsidP="00896918">
            <w:pPr>
              <w:jc w:val="center"/>
              <w:rPr>
                <w:rFonts w:ascii="Arial" w:hAnsi="Arial" w:cs="Arial"/>
              </w:rPr>
            </w:pPr>
            <w:r w:rsidRPr="006A1DF8">
              <w:rPr>
                <w:rFonts w:ascii="Arial" w:hAnsi="Arial" w:cs="Arial"/>
              </w:rPr>
              <w:t>2</w:t>
            </w:r>
          </w:p>
        </w:tc>
        <w:tc>
          <w:tcPr>
            <w:tcW w:w="6322" w:type="dxa"/>
            <w:vAlign w:val="center"/>
          </w:tcPr>
          <w:p w14:paraId="4C86F340" w14:textId="4102225C" w:rsidR="008F34A2" w:rsidRDefault="008F34A2" w:rsidP="00896918">
            <w:pPr>
              <w:jc w:val="center"/>
              <w:rPr>
                <w:rFonts w:ascii="Arial" w:hAnsi="Arial" w:cs="Arial"/>
              </w:rPr>
            </w:pPr>
            <w:r>
              <w:rPr>
                <w:rFonts w:ascii="Arial" w:hAnsi="Arial" w:cs="Arial"/>
              </w:rPr>
              <w:t>50 m</w:t>
            </w:r>
            <w:r w:rsidRPr="00896918">
              <w:rPr>
                <w:rFonts w:ascii="Arial" w:hAnsi="Arial" w:cs="Arial"/>
                <w:vertAlign w:val="superscript"/>
              </w:rPr>
              <w:t>3</w:t>
            </w:r>
            <w:r>
              <w:rPr>
                <w:rFonts w:ascii="Arial" w:hAnsi="Arial" w:cs="Arial"/>
              </w:rPr>
              <w:t xml:space="preserve"> per year</w:t>
            </w:r>
          </w:p>
        </w:tc>
      </w:tr>
      <w:tr w:rsidR="008F34A2" w14:paraId="28CC8620" w14:textId="77777777" w:rsidTr="008F34A2">
        <w:trPr>
          <w:trHeight w:val="567"/>
        </w:trPr>
        <w:tc>
          <w:tcPr>
            <w:tcW w:w="4027" w:type="dxa"/>
            <w:vAlign w:val="center"/>
          </w:tcPr>
          <w:p w14:paraId="703D5796" w14:textId="46EC2B69" w:rsidR="008F34A2" w:rsidRPr="006A1DF8" w:rsidRDefault="008F34A2" w:rsidP="008F34A2">
            <w:pPr>
              <w:jc w:val="center"/>
              <w:rPr>
                <w:rFonts w:ascii="Arial" w:hAnsi="Arial" w:cs="Arial"/>
              </w:rPr>
            </w:pPr>
            <w:r>
              <w:rPr>
                <w:rFonts w:ascii="Arial" w:hAnsi="Arial" w:cs="Arial"/>
              </w:rPr>
              <w:t>Cafes, Restaurants, Schools, Nurseries, Guest Houses, B&amp;Bs</w:t>
            </w:r>
          </w:p>
        </w:tc>
        <w:tc>
          <w:tcPr>
            <w:tcW w:w="766" w:type="dxa"/>
            <w:shd w:val="clear" w:color="auto" w:fill="auto"/>
            <w:vAlign w:val="center"/>
          </w:tcPr>
          <w:p w14:paraId="22BC5EB8" w14:textId="18CFA017" w:rsidR="008F34A2" w:rsidRPr="006A1DF8" w:rsidRDefault="008F34A2" w:rsidP="00896918">
            <w:pPr>
              <w:jc w:val="center"/>
              <w:rPr>
                <w:rFonts w:ascii="Arial" w:hAnsi="Arial" w:cs="Arial"/>
              </w:rPr>
            </w:pPr>
            <w:r w:rsidRPr="006A1DF8">
              <w:rPr>
                <w:rFonts w:ascii="Arial" w:hAnsi="Arial" w:cs="Arial"/>
              </w:rPr>
              <w:t>3</w:t>
            </w:r>
          </w:p>
        </w:tc>
        <w:tc>
          <w:tcPr>
            <w:tcW w:w="6322" w:type="dxa"/>
            <w:vAlign w:val="center"/>
          </w:tcPr>
          <w:p w14:paraId="2F8A796F" w14:textId="1547BDBF" w:rsidR="008F34A2" w:rsidRDefault="008F34A2" w:rsidP="00896918">
            <w:pPr>
              <w:jc w:val="center"/>
              <w:rPr>
                <w:rFonts w:ascii="Arial" w:hAnsi="Arial" w:cs="Arial"/>
              </w:rPr>
            </w:pPr>
            <w:r>
              <w:rPr>
                <w:rFonts w:ascii="Arial" w:hAnsi="Arial" w:cs="Arial"/>
              </w:rPr>
              <w:t>100 m</w:t>
            </w:r>
            <w:r w:rsidRPr="00896918">
              <w:rPr>
                <w:rFonts w:ascii="Arial" w:hAnsi="Arial" w:cs="Arial"/>
                <w:vertAlign w:val="superscript"/>
              </w:rPr>
              <w:t>3</w:t>
            </w:r>
            <w:r>
              <w:rPr>
                <w:rFonts w:ascii="Arial" w:hAnsi="Arial" w:cs="Arial"/>
              </w:rPr>
              <w:t xml:space="preserve"> per year</w:t>
            </w:r>
          </w:p>
        </w:tc>
      </w:tr>
      <w:tr w:rsidR="008F34A2" w14:paraId="0A239749" w14:textId="77777777" w:rsidTr="008F34A2">
        <w:trPr>
          <w:trHeight w:val="567"/>
        </w:trPr>
        <w:tc>
          <w:tcPr>
            <w:tcW w:w="4027" w:type="dxa"/>
            <w:vAlign w:val="center"/>
          </w:tcPr>
          <w:p w14:paraId="0C99AA47" w14:textId="5ADF7C6E" w:rsidR="008F34A2" w:rsidRPr="006A1DF8" w:rsidRDefault="008F34A2" w:rsidP="008F34A2">
            <w:pPr>
              <w:jc w:val="center"/>
              <w:rPr>
                <w:rFonts w:ascii="Arial" w:hAnsi="Arial" w:cs="Arial"/>
              </w:rPr>
            </w:pPr>
            <w:r>
              <w:rPr>
                <w:rFonts w:ascii="Arial" w:hAnsi="Arial" w:cs="Arial"/>
              </w:rPr>
              <w:t>Dry Cleaners, Sports Facilities, Clubs, Bars, Pubs</w:t>
            </w:r>
          </w:p>
        </w:tc>
        <w:tc>
          <w:tcPr>
            <w:tcW w:w="766" w:type="dxa"/>
            <w:shd w:val="clear" w:color="auto" w:fill="auto"/>
            <w:vAlign w:val="center"/>
          </w:tcPr>
          <w:p w14:paraId="49423CB0" w14:textId="7C560F66" w:rsidR="008F34A2" w:rsidRPr="006A1DF8" w:rsidRDefault="008F34A2" w:rsidP="00896918">
            <w:pPr>
              <w:jc w:val="center"/>
              <w:rPr>
                <w:rFonts w:ascii="Arial" w:hAnsi="Arial" w:cs="Arial"/>
              </w:rPr>
            </w:pPr>
            <w:r w:rsidRPr="006A1DF8">
              <w:rPr>
                <w:rFonts w:ascii="Arial" w:hAnsi="Arial" w:cs="Arial"/>
              </w:rPr>
              <w:t>4</w:t>
            </w:r>
          </w:p>
        </w:tc>
        <w:tc>
          <w:tcPr>
            <w:tcW w:w="6322" w:type="dxa"/>
            <w:vAlign w:val="center"/>
          </w:tcPr>
          <w:p w14:paraId="0D1EF539" w14:textId="196A3CA2" w:rsidR="008F34A2" w:rsidRDefault="008F34A2" w:rsidP="00896918">
            <w:pPr>
              <w:jc w:val="center"/>
              <w:rPr>
                <w:rFonts w:ascii="Arial" w:hAnsi="Arial" w:cs="Arial"/>
              </w:rPr>
            </w:pPr>
            <w:r>
              <w:rPr>
                <w:rFonts w:ascii="Arial" w:hAnsi="Arial" w:cs="Arial"/>
              </w:rPr>
              <w:t>200 m</w:t>
            </w:r>
            <w:r w:rsidRPr="00896918">
              <w:rPr>
                <w:rFonts w:ascii="Arial" w:hAnsi="Arial" w:cs="Arial"/>
                <w:vertAlign w:val="superscript"/>
              </w:rPr>
              <w:t>3</w:t>
            </w:r>
            <w:r>
              <w:rPr>
                <w:rFonts w:ascii="Arial" w:hAnsi="Arial" w:cs="Arial"/>
              </w:rPr>
              <w:t xml:space="preserve"> per year</w:t>
            </w:r>
          </w:p>
        </w:tc>
      </w:tr>
      <w:tr w:rsidR="008F34A2" w14:paraId="7C05668A" w14:textId="77777777" w:rsidTr="008F34A2">
        <w:trPr>
          <w:trHeight w:val="567"/>
        </w:trPr>
        <w:tc>
          <w:tcPr>
            <w:tcW w:w="4027" w:type="dxa"/>
            <w:vAlign w:val="center"/>
          </w:tcPr>
          <w:p w14:paraId="17C3B0CF" w14:textId="10E6C5F3" w:rsidR="008F34A2" w:rsidRPr="006A1DF8" w:rsidRDefault="008F34A2" w:rsidP="008F34A2">
            <w:pPr>
              <w:jc w:val="center"/>
              <w:rPr>
                <w:rFonts w:ascii="Arial" w:hAnsi="Arial" w:cs="Arial"/>
              </w:rPr>
            </w:pPr>
            <w:r>
              <w:rPr>
                <w:rFonts w:ascii="Arial" w:hAnsi="Arial" w:cs="Arial"/>
              </w:rPr>
              <w:t>Factories, Hospitals, Community Centres, Church Halls, Communal Areas, Golf Courses, Farms</w:t>
            </w:r>
          </w:p>
        </w:tc>
        <w:tc>
          <w:tcPr>
            <w:tcW w:w="766" w:type="dxa"/>
            <w:shd w:val="clear" w:color="auto" w:fill="auto"/>
            <w:vAlign w:val="center"/>
          </w:tcPr>
          <w:p w14:paraId="126F93AE" w14:textId="7E2620C2" w:rsidR="008F34A2" w:rsidRPr="006A1DF8" w:rsidRDefault="008F34A2" w:rsidP="00896918">
            <w:pPr>
              <w:jc w:val="center"/>
              <w:rPr>
                <w:rFonts w:ascii="Arial" w:hAnsi="Arial" w:cs="Arial"/>
              </w:rPr>
            </w:pPr>
            <w:r w:rsidRPr="006A1DF8">
              <w:rPr>
                <w:rFonts w:ascii="Arial" w:hAnsi="Arial" w:cs="Arial"/>
              </w:rPr>
              <w:t>5</w:t>
            </w:r>
          </w:p>
        </w:tc>
        <w:tc>
          <w:tcPr>
            <w:tcW w:w="6322" w:type="dxa"/>
            <w:vAlign w:val="center"/>
          </w:tcPr>
          <w:p w14:paraId="5D812A9D" w14:textId="09B5C6EE" w:rsidR="008F34A2" w:rsidRDefault="008F34A2" w:rsidP="00896918">
            <w:pPr>
              <w:jc w:val="center"/>
              <w:rPr>
                <w:rFonts w:ascii="Arial" w:hAnsi="Arial" w:cs="Arial"/>
              </w:rPr>
            </w:pPr>
            <w:r>
              <w:rPr>
                <w:rFonts w:ascii="Arial" w:hAnsi="Arial" w:cs="Arial"/>
              </w:rPr>
              <w:t>By inspection</w:t>
            </w:r>
          </w:p>
        </w:tc>
      </w:tr>
    </w:tbl>
    <w:p w14:paraId="4DC2361E" w14:textId="2300428E" w:rsidR="008A53D3" w:rsidRDefault="008A53D3" w:rsidP="00A52962">
      <w:pPr>
        <w:rPr>
          <w:rFonts w:ascii="Arial" w:hAnsi="Arial" w:cs="Arial"/>
        </w:rPr>
      </w:pPr>
    </w:p>
    <w:p w14:paraId="3957D4DC" w14:textId="10A81DAB" w:rsidR="006D706D" w:rsidRDefault="006D706D" w:rsidP="00A52962">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0464" behindDoc="0" locked="0" layoutInCell="1" allowOverlap="1" wp14:anchorId="7E2EC803" wp14:editId="2F8CB462">
                <wp:simplePos x="0" y="0"/>
                <wp:positionH relativeFrom="column">
                  <wp:posOffset>-842839</wp:posOffset>
                </wp:positionH>
                <wp:positionV relativeFrom="paragraph">
                  <wp:posOffset>-72196</wp:posOffset>
                </wp:positionV>
                <wp:extent cx="7418070" cy="361666"/>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C5901D4" w14:textId="2EDA82A3" w:rsidR="007A7A0C" w:rsidRPr="004616F3" w:rsidRDefault="007A7A0C" w:rsidP="006D706D">
                            <w:pPr>
                              <w:pStyle w:val="NoSpacing"/>
                              <w:rPr>
                                <w:rFonts w:ascii="Arial" w:hAnsi="Arial" w:cs="Arial"/>
                                <w:color w:val="FFFFFF" w:themeColor="background1"/>
                                <w:sz w:val="32"/>
                              </w:rPr>
                            </w:pPr>
                            <w:r>
                              <w:rPr>
                                <w:rFonts w:ascii="Arial" w:hAnsi="Arial" w:cs="Arial"/>
                                <w:color w:val="FFFFFF" w:themeColor="background1"/>
                                <w:sz w:val="32"/>
                              </w:rPr>
                              <w:t xml:space="preserve">B.1.7 Business assessed volumetric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C803" id="Text Box 23" o:spid="_x0000_s1049" type="#_x0000_t202" style="position:absolute;margin-left:-66.35pt;margin-top:-5.7pt;width:584.1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plRwIAAIQ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" fillcolor="#069" stroked="f" strokeweight=".5pt">
                <v:textbox>
                  <w:txbxContent>
                    <w:p w14:paraId="6C5901D4" w14:textId="2EDA82A3" w:rsidR="007A7A0C" w:rsidRPr="004616F3" w:rsidRDefault="007A7A0C" w:rsidP="006D706D">
                      <w:pPr>
                        <w:pStyle w:val="NoSpacing"/>
                        <w:rPr>
                          <w:rFonts w:ascii="Arial" w:hAnsi="Arial" w:cs="Arial"/>
                          <w:color w:val="FFFFFF" w:themeColor="background1"/>
                          <w:sz w:val="32"/>
                        </w:rPr>
                      </w:pPr>
                      <w:r>
                        <w:rPr>
                          <w:rFonts w:ascii="Arial" w:hAnsi="Arial" w:cs="Arial"/>
                          <w:color w:val="FFFFFF" w:themeColor="background1"/>
                          <w:sz w:val="32"/>
                        </w:rPr>
                        <w:t xml:space="preserve">B.1.7 Business assessed volumetric charges </w:t>
                      </w:r>
                    </w:p>
                  </w:txbxContent>
                </v:textbox>
              </v:shape>
            </w:pict>
          </mc:Fallback>
        </mc:AlternateContent>
      </w:r>
    </w:p>
    <w:p w14:paraId="399490C1" w14:textId="77777777" w:rsidR="00BF57F7" w:rsidRPr="00BF57F7" w:rsidRDefault="00BF57F7" w:rsidP="00BF57F7">
      <w:pPr>
        <w:tabs>
          <w:tab w:val="left" w:pos="939"/>
        </w:tabs>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4508"/>
        <w:gridCol w:w="4508"/>
      </w:tblGrid>
      <w:tr w:rsidR="00BF57F7" w14:paraId="50F85E36" w14:textId="77777777" w:rsidTr="00BF57F7">
        <w:trPr>
          <w:trHeight w:val="567"/>
        </w:trPr>
        <w:tc>
          <w:tcPr>
            <w:tcW w:w="4508" w:type="dxa"/>
            <w:shd w:val="clear" w:color="auto" w:fill="006699"/>
            <w:vAlign w:val="center"/>
          </w:tcPr>
          <w:p w14:paraId="1F0629F5" w14:textId="7698AF69" w:rsidR="00BF57F7" w:rsidRPr="00BF57F7" w:rsidRDefault="00BF57F7" w:rsidP="00BF57F7">
            <w:pPr>
              <w:tabs>
                <w:tab w:val="left" w:pos="939"/>
              </w:tabs>
              <w:jc w:val="center"/>
              <w:rPr>
                <w:rFonts w:ascii="Arial" w:hAnsi="Arial" w:cs="Arial"/>
                <w:b/>
                <w:color w:val="FFFFFF" w:themeColor="background1"/>
              </w:rPr>
            </w:pPr>
            <w:r w:rsidRPr="00BF57F7">
              <w:rPr>
                <w:rFonts w:ascii="Arial" w:hAnsi="Arial" w:cs="Arial"/>
                <w:b/>
                <w:color w:val="FFFFFF" w:themeColor="background1"/>
              </w:rPr>
              <w:t>Assessed Usage (m</w:t>
            </w:r>
            <w:r w:rsidRPr="00BF57F7">
              <w:rPr>
                <w:rFonts w:ascii="Arial" w:hAnsi="Arial" w:cs="Arial"/>
                <w:b/>
                <w:color w:val="FFFFFF" w:themeColor="background1"/>
                <w:vertAlign w:val="superscript"/>
              </w:rPr>
              <w:t>3</w:t>
            </w:r>
            <w:r w:rsidRPr="00BF57F7">
              <w:rPr>
                <w:rFonts w:ascii="Arial" w:hAnsi="Arial" w:cs="Arial"/>
                <w:b/>
                <w:color w:val="FFFFFF" w:themeColor="background1"/>
              </w:rPr>
              <w:t xml:space="preserve"> per year)</w:t>
            </w:r>
          </w:p>
        </w:tc>
        <w:tc>
          <w:tcPr>
            <w:tcW w:w="4508" w:type="dxa"/>
            <w:shd w:val="clear" w:color="auto" w:fill="006699"/>
            <w:vAlign w:val="center"/>
          </w:tcPr>
          <w:p w14:paraId="4A844FDB" w14:textId="10ABF81F" w:rsidR="00BF57F7" w:rsidRPr="00BF57F7" w:rsidRDefault="00BF57F7" w:rsidP="00BF57F7">
            <w:pPr>
              <w:tabs>
                <w:tab w:val="left" w:pos="939"/>
              </w:tabs>
              <w:jc w:val="center"/>
              <w:rPr>
                <w:rFonts w:ascii="Arial" w:hAnsi="Arial" w:cs="Arial"/>
                <w:b/>
                <w:color w:val="FFFFFF" w:themeColor="background1"/>
              </w:rPr>
            </w:pPr>
            <w:r w:rsidRPr="00BF57F7">
              <w:rPr>
                <w:rFonts w:ascii="Arial" w:hAnsi="Arial" w:cs="Arial"/>
                <w:b/>
                <w:color w:val="FFFFFF" w:themeColor="background1"/>
              </w:rPr>
              <w:t xml:space="preserve">Volume Charge </w:t>
            </w:r>
            <w:proofErr w:type="gramStart"/>
            <w:r w:rsidR="00336421">
              <w:rPr>
                <w:rFonts w:ascii="Arial" w:hAnsi="Arial" w:cs="Arial"/>
                <w:b/>
                <w:color w:val="FFFFFF" w:themeColor="background1"/>
              </w:rPr>
              <w:t>Waste water</w:t>
            </w:r>
            <w:proofErr w:type="gramEnd"/>
          </w:p>
        </w:tc>
      </w:tr>
      <w:tr w:rsidR="00BF57F7" w14:paraId="79BD3007" w14:textId="77777777" w:rsidTr="00BF57F7">
        <w:trPr>
          <w:trHeight w:val="567"/>
        </w:trPr>
        <w:tc>
          <w:tcPr>
            <w:tcW w:w="4508" w:type="dxa"/>
            <w:vAlign w:val="center"/>
          </w:tcPr>
          <w:p w14:paraId="63431116" w14:textId="2DA398C3" w:rsidR="00BF57F7" w:rsidRPr="005E059D" w:rsidRDefault="00BF57F7" w:rsidP="005E059D">
            <w:pPr>
              <w:pStyle w:val="ListParagraph"/>
              <w:numPr>
                <w:ilvl w:val="0"/>
                <w:numId w:val="14"/>
              </w:numPr>
              <w:tabs>
                <w:tab w:val="left" w:pos="939"/>
              </w:tabs>
              <w:jc w:val="center"/>
              <w:rPr>
                <w:rFonts w:ascii="Arial" w:hAnsi="Arial" w:cs="Arial"/>
              </w:rPr>
            </w:pPr>
            <w:r w:rsidRPr="005E059D">
              <w:rPr>
                <w:rFonts w:ascii="Arial" w:hAnsi="Arial" w:cs="Arial"/>
              </w:rPr>
              <w:t>– 20,000</w:t>
            </w:r>
          </w:p>
        </w:tc>
        <w:tc>
          <w:tcPr>
            <w:tcW w:w="4508" w:type="dxa"/>
            <w:vAlign w:val="center"/>
          </w:tcPr>
          <w:p w14:paraId="1EF3602C" w14:textId="15AB2FC1" w:rsidR="00BF57F7" w:rsidRPr="005E059D" w:rsidRDefault="005A1219" w:rsidP="005E059D">
            <w:pPr>
              <w:tabs>
                <w:tab w:val="left" w:pos="939"/>
              </w:tabs>
              <w:jc w:val="center"/>
              <w:rPr>
                <w:rFonts w:ascii="Arial" w:hAnsi="Arial" w:cs="Arial"/>
              </w:rPr>
            </w:pPr>
            <w:r>
              <w:rPr>
                <w:rFonts w:ascii="Arial" w:hAnsi="Arial" w:cs="Arial"/>
              </w:rPr>
              <w:t>105.44</w:t>
            </w:r>
            <w:r w:rsidR="005E059D">
              <w:rPr>
                <w:rFonts w:ascii="Arial" w:hAnsi="Arial" w:cs="Arial"/>
              </w:rPr>
              <w:t xml:space="preserve"> </w:t>
            </w:r>
            <w:r w:rsidR="00BF57F7" w:rsidRPr="005E059D">
              <w:rPr>
                <w:rFonts w:ascii="Arial" w:hAnsi="Arial" w:cs="Arial"/>
              </w:rPr>
              <w:t>pence per m</w:t>
            </w:r>
            <w:r w:rsidR="00BF57F7" w:rsidRPr="005E059D">
              <w:rPr>
                <w:rFonts w:ascii="Arial" w:hAnsi="Arial" w:cs="Arial"/>
                <w:vertAlign w:val="superscript"/>
              </w:rPr>
              <w:t>3</w:t>
            </w:r>
          </w:p>
        </w:tc>
      </w:tr>
    </w:tbl>
    <w:p w14:paraId="1ABC41A2" w14:textId="39AC283A" w:rsidR="00BF57F7" w:rsidRDefault="00BF57F7" w:rsidP="00BF57F7">
      <w:pPr>
        <w:tabs>
          <w:tab w:val="left" w:pos="939"/>
        </w:tabs>
        <w:rPr>
          <w:rFonts w:ascii="Arial" w:hAnsi="Arial" w:cs="Arial"/>
        </w:rPr>
      </w:pPr>
    </w:p>
    <w:p w14:paraId="08BF9B0E" w14:textId="48D98ABE" w:rsidR="00FB431F" w:rsidRDefault="00FB431F" w:rsidP="00BF57F7">
      <w:pPr>
        <w:tabs>
          <w:tab w:val="left" w:pos="939"/>
        </w:tabs>
        <w:rPr>
          <w:rFonts w:ascii="Arial" w:hAnsi="Arial" w:cs="Arial"/>
        </w:rPr>
      </w:pPr>
      <w:r w:rsidRPr="00FB431F">
        <w:rPr>
          <w:rFonts w:ascii="Arial" w:hAnsi="Arial" w:cs="Arial"/>
        </w:rPr>
        <w:t xml:space="preserve">*Note that volumetric </w:t>
      </w:r>
      <w:proofErr w:type="gramStart"/>
      <w:r w:rsidRPr="00FB431F">
        <w:rPr>
          <w:rFonts w:ascii="Arial" w:hAnsi="Arial" w:cs="Arial"/>
        </w:rPr>
        <w:t>waste water</w:t>
      </w:r>
      <w:proofErr w:type="gramEnd"/>
      <w:r w:rsidRPr="00FB431F">
        <w:rPr>
          <w:rFonts w:ascii="Arial" w:hAnsi="Arial" w:cs="Arial"/>
        </w:rPr>
        <w:t xml:space="preserve"> </w:t>
      </w:r>
      <w:r>
        <w:rPr>
          <w:rFonts w:ascii="Arial" w:hAnsi="Arial" w:cs="Arial"/>
        </w:rPr>
        <w:t>service charges relate exclusively to foul drainage.</w:t>
      </w:r>
    </w:p>
    <w:p w14:paraId="75E7A28B" w14:textId="15773412" w:rsidR="00BF57F7" w:rsidRDefault="00BF57F7" w:rsidP="00BF57F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12512" behindDoc="0" locked="0" layoutInCell="1" allowOverlap="1" wp14:anchorId="4BAA4FEE" wp14:editId="66E61844">
                <wp:simplePos x="0" y="0"/>
                <wp:positionH relativeFrom="column">
                  <wp:posOffset>-842838</wp:posOffset>
                </wp:positionH>
                <wp:positionV relativeFrom="paragraph">
                  <wp:posOffset>123245</wp:posOffset>
                </wp:positionV>
                <wp:extent cx="7418070" cy="361666"/>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DA3C373" w14:textId="15F092D4" w:rsidR="007A7A0C" w:rsidRPr="004616F3" w:rsidRDefault="007A7A0C" w:rsidP="00BF57F7">
                            <w:pPr>
                              <w:pStyle w:val="NoSpacing"/>
                              <w:rPr>
                                <w:rFonts w:ascii="Arial" w:hAnsi="Arial" w:cs="Arial"/>
                                <w:color w:val="FFFFFF" w:themeColor="background1"/>
                                <w:sz w:val="32"/>
                              </w:rPr>
                            </w:pPr>
                            <w:r>
                              <w:rPr>
                                <w:rFonts w:ascii="Arial" w:hAnsi="Arial" w:cs="Arial"/>
                                <w:color w:val="FFFFFF" w:themeColor="background1"/>
                                <w:sz w:val="32"/>
                              </w:rPr>
                              <w:t>B.1.8 Business assessed fixed charges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4FEE" id="Text Box 24" o:spid="_x0000_s1050" type="#_x0000_t202" style="position:absolute;margin-left:-66.35pt;margin-top:9.7pt;width:584.1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" fillcolor="#069" stroked="f" strokeweight=".5pt">
                <v:textbox>
                  <w:txbxContent>
                    <w:p w14:paraId="5DA3C373" w14:textId="15F092D4" w:rsidR="007A7A0C" w:rsidRPr="004616F3" w:rsidRDefault="007A7A0C" w:rsidP="00BF57F7">
                      <w:pPr>
                        <w:pStyle w:val="NoSpacing"/>
                        <w:rPr>
                          <w:rFonts w:ascii="Arial" w:hAnsi="Arial" w:cs="Arial"/>
                          <w:color w:val="FFFFFF" w:themeColor="background1"/>
                          <w:sz w:val="32"/>
                        </w:rPr>
                      </w:pPr>
                      <w:r>
                        <w:rPr>
                          <w:rFonts w:ascii="Arial" w:hAnsi="Arial" w:cs="Arial"/>
                          <w:color w:val="FFFFFF" w:themeColor="background1"/>
                          <w:sz w:val="32"/>
                        </w:rPr>
                        <w:t>B.1.8 Business assessed fixed charges per year</w:t>
                      </w:r>
                    </w:p>
                  </w:txbxContent>
                </v:textbox>
              </v:shape>
            </w:pict>
          </mc:Fallback>
        </mc:AlternateContent>
      </w:r>
    </w:p>
    <w:p w14:paraId="743BDAD4" w14:textId="77777777" w:rsidR="00BF57F7" w:rsidRPr="00BF57F7" w:rsidRDefault="00BF57F7" w:rsidP="00BF57F7">
      <w:pPr>
        <w:tabs>
          <w:tab w:val="left" w:pos="1590"/>
        </w:tabs>
        <w:rPr>
          <w:rFonts w:ascii="Arial" w:hAnsi="Arial" w:cs="Arial"/>
        </w:rPr>
      </w:pPr>
      <w:r>
        <w:rPr>
          <w:rFonts w:ascii="Arial" w:hAnsi="Arial" w:cs="Arial"/>
        </w:rPr>
        <w:tab/>
      </w:r>
    </w:p>
    <w:p w14:paraId="6D67F188" w14:textId="2F8C9999" w:rsidR="00BF57F7" w:rsidRDefault="00BF57F7" w:rsidP="00BF57F7">
      <w:pPr>
        <w:tabs>
          <w:tab w:val="left" w:pos="1590"/>
        </w:tabs>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BF57F7" w14:paraId="18A5F268" w14:textId="77777777" w:rsidTr="00BF57F7">
        <w:trPr>
          <w:trHeight w:val="567"/>
        </w:trPr>
        <w:tc>
          <w:tcPr>
            <w:tcW w:w="4508" w:type="dxa"/>
            <w:gridSpan w:val="2"/>
            <w:shd w:val="clear" w:color="auto" w:fill="006699"/>
            <w:vAlign w:val="center"/>
          </w:tcPr>
          <w:p w14:paraId="47736302" w14:textId="2E49E0B2"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Assessed pipe size</w:t>
            </w:r>
          </w:p>
        </w:tc>
        <w:tc>
          <w:tcPr>
            <w:tcW w:w="4508" w:type="dxa"/>
            <w:gridSpan w:val="2"/>
            <w:shd w:val="clear" w:color="auto" w:fill="006699"/>
            <w:vAlign w:val="center"/>
          </w:tcPr>
          <w:p w14:paraId="0C2593DB" w14:textId="18D1D244" w:rsidR="00BF57F7" w:rsidRPr="00BF57F7" w:rsidRDefault="00336421" w:rsidP="00BF57F7">
            <w:pPr>
              <w:tabs>
                <w:tab w:val="left" w:pos="1590"/>
              </w:tabs>
              <w:jc w:val="center"/>
              <w:rPr>
                <w:rFonts w:ascii="Arial" w:hAnsi="Arial" w:cs="Arial"/>
                <w:b/>
                <w:color w:val="FFFFFF" w:themeColor="background1"/>
              </w:rPr>
            </w:pPr>
            <w:r>
              <w:rPr>
                <w:rFonts w:ascii="Arial" w:hAnsi="Arial" w:cs="Arial"/>
                <w:b/>
                <w:color w:val="FFFFFF" w:themeColor="background1"/>
              </w:rPr>
              <w:t>Waste water</w:t>
            </w:r>
          </w:p>
        </w:tc>
      </w:tr>
      <w:tr w:rsidR="00BF57F7" w14:paraId="49604C63" w14:textId="77777777" w:rsidTr="00BF57F7">
        <w:trPr>
          <w:trHeight w:val="567"/>
        </w:trPr>
        <w:tc>
          <w:tcPr>
            <w:tcW w:w="2254" w:type="dxa"/>
            <w:shd w:val="clear" w:color="auto" w:fill="006699"/>
            <w:vAlign w:val="center"/>
          </w:tcPr>
          <w:p w14:paraId="31513BF3" w14:textId="6FEF3E32"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Millimetre</w:t>
            </w:r>
          </w:p>
        </w:tc>
        <w:tc>
          <w:tcPr>
            <w:tcW w:w="2254" w:type="dxa"/>
            <w:shd w:val="clear" w:color="auto" w:fill="006699"/>
            <w:vAlign w:val="center"/>
          </w:tcPr>
          <w:p w14:paraId="1475ADA6" w14:textId="39A3FF9A"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Inches</w:t>
            </w:r>
          </w:p>
        </w:tc>
        <w:tc>
          <w:tcPr>
            <w:tcW w:w="2254" w:type="dxa"/>
            <w:shd w:val="clear" w:color="auto" w:fill="006699"/>
            <w:vAlign w:val="center"/>
          </w:tcPr>
          <w:p w14:paraId="01938104" w14:textId="783252AD"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Full</w:t>
            </w:r>
          </w:p>
        </w:tc>
        <w:tc>
          <w:tcPr>
            <w:tcW w:w="2254" w:type="dxa"/>
            <w:shd w:val="clear" w:color="auto" w:fill="006699"/>
            <w:vAlign w:val="center"/>
          </w:tcPr>
          <w:p w14:paraId="12C9236A" w14:textId="0B44E305"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Abated*</w:t>
            </w:r>
          </w:p>
        </w:tc>
      </w:tr>
      <w:tr w:rsidR="00BF57F7" w14:paraId="47F00DF6" w14:textId="77777777" w:rsidTr="00BF57F7">
        <w:trPr>
          <w:trHeight w:val="567"/>
        </w:trPr>
        <w:tc>
          <w:tcPr>
            <w:tcW w:w="2254" w:type="dxa"/>
            <w:vAlign w:val="center"/>
          </w:tcPr>
          <w:p w14:paraId="0E5F3DC2" w14:textId="7395A209" w:rsidR="00BF57F7" w:rsidRDefault="00BF57F7" w:rsidP="00BF57F7">
            <w:pPr>
              <w:tabs>
                <w:tab w:val="left" w:pos="1590"/>
              </w:tabs>
              <w:jc w:val="center"/>
              <w:rPr>
                <w:rFonts w:ascii="Arial" w:hAnsi="Arial" w:cs="Arial"/>
              </w:rPr>
            </w:pPr>
            <w:r>
              <w:rPr>
                <w:rFonts w:ascii="Arial" w:hAnsi="Arial" w:cs="Arial"/>
              </w:rPr>
              <w:t>12/15</w:t>
            </w:r>
          </w:p>
        </w:tc>
        <w:tc>
          <w:tcPr>
            <w:tcW w:w="2254" w:type="dxa"/>
            <w:vAlign w:val="center"/>
          </w:tcPr>
          <w:p w14:paraId="76D0F7B7" w14:textId="55B839BE" w:rsidR="00BF57F7" w:rsidRDefault="00BF57F7" w:rsidP="00BF57F7">
            <w:pPr>
              <w:tabs>
                <w:tab w:val="left" w:pos="1590"/>
              </w:tabs>
              <w:jc w:val="center"/>
              <w:rPr>
                <w:rFonts w:ascii="Arial" w:hAnsi="Arial" w:cs="Arial"/>
              </w:rPr>
            </w:pPr>
            <w:r>
              <w:rPr>
                <w:rFonts w:ascii="Arial" w:hAnsi="Arial" w:cs="Arial"/>
              </w:rPr>
              <w:t>0.5</w:t>
            </w:r>
          </w:p>
        </w:tc>
        <w:tc>
          <w:tcPr>
            <w:tcW w:w="2254" w:type="dxa"/>
            <w:vAlign w:val="center"/>
          </w:tcPr>
          <w:p w14:paraId="49BC292E" w14:textId="495E7C0F" w:rsidR="00BF57F7" w:rsidRDefault="00BF57F7" w:rsidP="005E059D">
            <w:pPr>
              <w:tabs>
                <w:tab w:val="left" w:pos="1590"/>
              </w:tabs>
              <w:jc w:val="center"/>
              <w:rPr>
                <w:rFonts w:ascii="Arial" w:hAnsi="Arial" w:cs="Arial"/>
              </w:rPr>
            </w:pPr>
            <w:r>
              <w:rPr>
                <w:rFonts w:ascii="Arial" w:hAnsi="Arial" w:cs="Arial"/>
              </w:rPr>
              <w:t>£</w:t>
            </w:r>
            <w:r w:rsidR="0076559F">
              <w:rPr>
                <w:rFonts w:ascii="Arial" w:hAnsi="Arial" w:cs="Arial"/>
              </w:rPr>
              <w:t>51.15</w:t>
            </w:r>
          </w:p>
        </w:tc>
        <w:tc>
          <w:tcPr>
            <w:tcW w:w="2254" w:type="dxa"/>
            <w:vAlign w:val="center"/>
          </w:tcPr>
          <w:p w14:paraId="5284B3BC" w14:textId="775F3167" w:rsidR="00BF57F7" w:rsidRDefault="00BF57F7" w:rsidP="005E059D">
            <w:pPr>
              <w:tabs>
                <w:tab w:val="left" w:pos="1590"/>
              </w:tabs>
              <w:jc w:val="center"/>
              <w:rPr>
                <w:rFonts w:ascii="Arial" w:hAnsi="Arial" w:cs="Arial"/>
              </w:rPr>
            </w:pPr>
            <w:r>
              <w:rPr>
                <w:rFonts w:ascii="Arial" w:hAnsi="Arial" w:cs="Arial"/>
              </w:rPr>
              <w:t>£</w:t>
            </w:r>
            <w:r w:rsidR="00954273">
              <w:rPr>
                <w:rFonts w:ascii="Arial" w:hAnsi="Arial" w:cs="Arial"/>
              </w:rPr>
              <w:t>18.69</w:t>
            </w:r>
          </w:p>
        </w:tc>
      </w:tr>
      <w:tr w:rsidR="00BF57F7" w14:paraId="2D6CB261" w14:textId="77777777" w:rsidTr="00BF57F7">
        <w:trPr>
          <w:trHeight w:val="567"/>
        </w:trPr>
        <w:tc>
          <w:tcPr>
            <w:tcW w:w="2254" w:type="dxa"/>
            <w:vAlign w:val="center"/>
          </w:tcPr>
          <w:p w14:paraId="5F5467F6" w14:textId="35A31F09" w:rsidR="00BF57F7" w:rsidRDefault="00BF57F7" w:rsidP="00BF57F7">
            <w:pPr>
              <w:tabs>
                <w:tab w:val="left" w:pos="1590"/>
              </w:tabs>
              <w:jc w:val="center"/>
              <w:rPr>
                <w:rFonts w:ascii="Arial" w:hAnsi="Arial" w:cs="Arial"/>
              </w:rPr>
            </w:pPr>
            <w:r>
              <w:rPr>
                <w:rFonts w:ascii="Arial" w:hAnsi="Arial" w:cs="Arial"/>
              </w:rPr>
              <w:t>20/22</w:t>
            </w:r>
          </w:p>
        </w:tc>
        <w:tc>
          <w:tcPr>
            <w:tcW w:w="2254" w:type="dxa"/>
            <w:vAlign w:val="center"/>
          </w:tcPr>
          <w:p w14:paraId="44254127" w14:textId="5D3BEC99" w:rsidR="00BF57F7" w:rsidRDefault="00BF57F7" w:rsidP="00BF57F7">
            <w:pPr>
              <w:tabs>
                <w:tab w:val="left" w:pos="1590"/>
              </w:tabs>
              <w:jc w:val="center"/>
              <w:rPr>
                <w:rFonts w:ascii="Arial" w:hAnsi="Arial" w:cs="Arial"/>
              </w:rPr>
            </w:pPr>
            <w:r>
              <w:rPr>
                <w:rFonts w:ascii="Arial" w:hAnsi="Arial" w:cs="Arial"/>
              </w:rPr>
              <w:t>0.75</w:t>
            </w:r>
          </w:p>
        </w:tc>
        <w:tc>
          <w:tcPr>
            <w:tcW w:w="2254" w:type="dxa"/>
            <w:vAlign w:val="center"/>
          </w:tcPr>
          <w:p w14:paraId="64414783" w14:textId="7DFFAE07" w:rsidR="00BF57F7" w:rsidRDefault="00BF57F7" w:rsidP="005E059D">
            <w:pPr>
              <w:tabs>
                <w:tab w:val="left" w:pos="1590"/>
              </w:tabs>
              <w:jc w:val="center"/>
              <w:rPr>
                <w:rFonts w:ascii="Arial" w:hAnsi="Arial" w:cs="Arial"/>
              </w:rPr>
            </w:pPr>
            <w:r>
              <w:rPr>
                <w:rFonts w:ascii="Arial" w:hAnsi="Arial" w:cs="Arial"/>
              </w:rPr>
              <w:t>£</w:t>
            </w:r>
            <w:r w:rsidR="00CA42D4">
              <w:rPr>
                <w:rFonts w:ascii="Arial" w:hAnsi="Arial" w:cs="Arial"/>
              </w:rPr>
              <w:t>127.97</w:t>
            </w:r>
          </w:p>
        </w:tc>
        <w:tc>
          <w:tcPr>
            <w:tcW w:w="2254" w:type="dxa"/>
            <w:vAlign w:val="center"/>
          </w:tcPr>
          <w:p w14:paraId="37615E55" w14:textId="5ED9C91E" w:rsidR="00BF57F7" w:rsidRDefault="00BF57F7" w:rsidP="005E059D">
            <w:pPr>
              <w:tabs>
                <w:tab w:val="left" w:pos="1590"/>
              </w:tabs>
              <w:jc w:val="center"/>
              <w:rPr>
                <w:rFonts w:ascii="Arial" w:hAnsi="Arial" w:cs="Arial"/>
              </w:rPr>
            </w:pPr>
            <w:r>
              <w:rPr>
                <w:rFonts w:ascii="Arial" w:hAnsi="Arial" w:cs="Arial"/>
              </w:rPr>
              <w:t>£</w:t>
            </w:r>
            <w:r w:rsidR="00954273">
              <w:rPr>
                <w:rFonts w:ascii="Arial" w:hAnsi="Arial" w:cs="Arial"/>
              </w:rPr>
              <w:t>51.57</w:t>
            </w:r>
          </w:p>
        </w:tc>
      </w:tr>
      <w:tr w:rsidR="00BF57F7" w14:paraId="3B8DBA43" w14:textId="77777777" w:rsidTr="00BF57F7">
        <w:trPr>
          <w:trHeight w:val="567"/>
        </w:trPr>
        <w:tc>
          <w:tcPr>
            <w:tcW w:w="2254" w:type="dxa"/>
            <w:vAlign w:val="center"/>
          </w:tcPr>
          <w:p w14:paraId="3E04025D" w14:textId="2D96A947" w:rsidR="00BF57F7" w:rsidRDefault="00BF57F7" w:rsidP="00BF57F7">
            <w:pPr>
              <w:tabs>
                <w:tab w:val="left" w:pos="1590"/>
              </w:tabs>
              <w:jc w:val="center"/>
              <w:rPr>
                <w:rFonts w:ascii="Arial" w:hAnsi="Arial" w:cs="Arial"/>
              </w:rPr>
            </w:pPr>
            <w:r>
              <w:rPr>
                <w:rFonts w:ascii="Arial" w:hAnsi="Arial" w:cs="Arial"/>
              </w:rPr>
              <w:t>25/28</w:t>
            </w:r>
          </w:p>
        </w:tc>
        <w:tc>
          <w:tcPr>
            <w:tcW w:w="2254" w:type="dxa"/>
            <w:vAlign w:val="center"/>
          </w:tcPr>
          <w:p w14:paraId="3ADB7C6F" w14:textId="431FB7F7" w:rsidR="00BF57F7" w:rsidRDefault="00BF57F7" w:rsidP="00BF57F7">
            <w:pPr>
              <w:tabs>
                <w:tab w:val="left" w:pos="1590"/>
              </w:tabs>
              <w:jc w:val="center"/>
              <w:rPr>
                <w:rFonts w:ascii="Arial" w:hAnsi="Arial" w:cs="Arial"/>
              </w:rPr>
            </w:pPr>
            <w:r>
              <w:rPr>
                <w:rFonts w:ascii="Arial" w:hAnsi="Arial" w:cs="Arial"/>
              </w:rPr>
              <w:t>1.00</w:t>
            </w:r>
          </w:p>
        </w:tc>
        <w:tc>
          <w:tcPr>
            <w:tcW w:w="2254" w:type="dxa"/>
            <w:vAlign w:val="center"/>
          </w:tcPr>
          <w:p w14:paraId="11416F37" w14:textId="1F9D8179" w:rsidR="00BF57F7" w:rsidRDefault="00BF57F7" w:rsidP="005E059D">
            <w:pPr>
              <w:tabs>
                <w:tab w:val="left" w:pos="1590"/>
              </w:tabs>
              <w:jc w:val="center"/>
              <w:rPr>
                <w:rFonts w:ascii="Arial" w:hAnsi="Arial" w:cs="Arial"/>
              </w:rPr>
            </w:pPr>
            <w:r>
              <w:rPr>
                <w:rFonts w:ascii="Arial" w:hAnsi="Arial" w:cs="Arial"/>
              </w:rPr>
              <w:t>£</w:t>
            </w:r>
            <w:r w:rsidR="00CA42D4">
              <w:rPr>
                <w:rFonts w:ascii="Arial" w:hAnsi="Arial" w:cs="Arial"/>
              </w:rPr>
              <w:t>228.79</w:t>
            </w:r>
          </w:p>
        </w:tc>
        <w:tc>
          <w:tcPr>
            <w:tcW w:w="2254" w:type="dxa"/>
            <w:vAlign w:val="center"/>
          </w:tcPr>
          <w:p w14:paraId="16544FFF" w14:textId="534D30FF" w:rsidR="00BF57F7" w:rsidRDefault="00BF57F7" w:rsidP="005E059D">
            <w:pPr>
              <w:tabs>
                <w:tab w:val="left" w:pos="1590"/>
              </w:tabs>
              <w:jc w:val="center"/>
              <w:rPr>
                <w:rFonts w:ascii="Arial" w:hAnsi="Arial" w:cs="Arial"/>
              </w:rPr>
            </w:pPr>
            <w:r>
              <w:rPr>
                <w:rFonts w:ascii="Arial" w:hAnsi="Arial" w:cs="Arial"/>
              </w:rPr>
              <w:t>£</w:t>
            </w:r>
            <w:r w:rsidR="00E67144">
              <w:rPr>
                <w:rFonts w:ascii="Arial" w:hAnsi="Arial" w:cs="Arial"/>
              </w:rPr>
              <w:t>92.35</w:t>
            </w:r>
          </w:p>
        </w:tc>
      </w:tr>
      <w:tr w:rsidR="00BF57F7" w14:paraId="28F43F55" w14:textId="77777777" w:rsidTr="00BF57F7">
        <w:trPr>
          <w:trHeight w:val="567"/>
        </w:trPr>
        <w:tc>
          <w:tcPr>
            <w:tcW w:w="2254" w:type="dxa"/>
            <w:vAlign w:val="center"/>
          </w:tcPr>
          <w:p w14:paraId="472F60E6" w14:textId="4CE6E657" w:rsidR="00BF57F7" w:rsidRDefault="00BF57F7" w:rsidP="00BF57F7">
            <w:pPr>
              <w:tabs>
                <w:tab w:val="left" w:pos="1590"/>
              </w:tabs>
              <w:jc w:val="center"/>
              <w:rPr>
                <w:rFonts w:ascii="Arial" w:hAnsi="Arial" w:cs="Arial"/>
              </w:rPr>
            </w:pPr>
            <w:r>
              <w:rPr>
                <w:rFonts w:ascii="Arial" w:hAnsi="Arial" w:cs="Arial"/>
              </w:rPr>
              <w:t>30</w:t>
            </w:r>
            <w:r w:rsidR="00EF374B">
              <w:rPr>
                <w:rFonts w:ascii="Arial" w:hAnsi="Arial" w:cs="Arial"/>
              </w:rPr>
              <w:t>/32/35</w:t>
            </w:r>
          </w:p>
        </w:tc>
        <w:tc>
          <w:tcPr>
            <w:tcW w:w="2254" w:type="dxa"/>
            <w:vAlign w:val="center"/>
          </w:tcPr>
          <w:p w14:paraId="7FA5391C" w14:textId="4443B9E8" w:rsidR="00BF57F7" w:rsidRDefault="00EF374B" w:rsidP="00BF57F7">
            <w:pPr>
              <w:tabs>
                <w:tab w:val="left" w:pos="1590"/>
              </w:tabs>
              <w:jc w:val="center"/>
              <w:rPr>
                <w:rFonts w:ascii="Arial" w:hAnsi="Arial" w:cs="Arial"/>
              </w:rPr>
            </w:pPr>
            <w:r>
              <w:rPr>
                <w:rFonts w:ascii="Arial" w:hAnsi="Arial" w:cs="Arial"/>
              </w:rPr>
              <w:t>1.25</w:t>
            </w:r>
          </w:p>
        </w:tc>
        <w:tc>
          <w:tcPr>
            <w:tcW w:w="2254" w:type="dxa"/>
            <w:vAlign w:val="center"/>
          </w:tcPr>
          <w:p w14:paraId="008CD40C" w14:textId="356A4E3A" w:rsidR="00BF57F7" w:rsidRDefault="00EF374B" w:rsidP="005E059D">
            <w:pPr>
              <w:tabs>
                <w:tab w:val="left" w:pos="1590"/>
              </w:tabs>
              <w:jc w:val="center"/>
              <w:rPr>
                <w:rFonts w:ascii="Arial" w:hAnsi="Arial" w:cs="Arial"/>
              </w:rPr>
            </w:pPr>
            <w:r>
              <w:rPr>
                <w:rFonts w:ascii="Arial" w:hAnsi="Arial" w:cs="Arial"/>
              </w:rPr>
              <w:t>£</w:t>
            </w:r>
            <w:r w:rsidR="00CA42D4">
              <w:rPr>
                <w:rFonts w:ascii="Arial" w:hAnsi="Arial" w:cs="Arial"/>
              </w:rPr>
              <w:t>356.78</w:t>
            </w:r>
          </w:p>
        </w:tc>
        <w:tc>
          <w:tcPr>
            <w:tcW w:w="2254" w:type="dxa"/>
            <w:vAlign w:val="center"/>
          </w:tcPr>
          <w:p w14:paraId="35AF80FD" w14:textId="456BD5F0" w:rsidR="00BF57F7" w:rsidRDefault="00EF374B" w:rsidP="005E059D">
            <w:pPr>
              <w:tabs>
                <w:tab w:val="left" w:pos="1590"/>
              </w:tabs>
              <w:jc w:val="center"/>
              <w:rPr>
                <w:rFonts w:ascii="Arial" w:hAnsi="Arial" w:cs="Arial"/>
              </w:rPr>
            </w:pPr>
            <w:r>
              <w:rPr>
                <w:rFonts w:ascii="Arial" w:hAnsi="Arial" w:cs="Arial"/>
              </w:rPr>
              <w:t>£</w:t>
            </w:r>
            <w:r w:rsidR="00E67144">
              <w:rPr>
                <w:rFonts w:ascii="Arial" w:hAnsi="Arial" w:cs="Arial"/>
              </w:rPr>
              <w:t>143.93</w:t>
            </w:r>
          </w:p>
        </w:tc>
      </w:tr>
      <w:tr w:rsidR="00BF57F7" w14:paraId="3C4EF9CE" w14:textId="77777777" w:rsidTr="00BF57F7">
        <w:trPr>
          <w:trHeight w:val="567"/>
        </w:trPr>
        <w:tc>
          <w:tcPr>
            <w:tcW w:w="2254" w:type="dxa"/>
            <w:vAlign w:val="center"/>
          </w:tcPr>
          <w:p w14:paraId="3D2E6184" w14:textId="64F1DAF4" w:rsidR="00BF57F7" w:rsidRDefault="00EF374B" w:rsidP="00BF57F7">
            <w:pPr>
              <w:tabs>
                <w:tab w:val="left" w:pos="1590"/>
              </w:tabs>
              <w:jc w:val="center"/>
              <w:rPr>
                <w:rFonts w:ascii="Arial" w:hAnsi="Arial" w:cs="Arial"/>
              </w:rPr>
            </w:pPr>
            <w:r>
              <w:rPr>
                <w:rFonts w:ascii="Arial" w:hAnsi="Arial" w:cs="Arial"/>
              </w:rPr>
              <w:t>40/42</w:t>
            </w:r>
          </w:p>
        </w:tc>
        <w:tc>
          <w:tcPr>
            <w:tcW w:w="2254" w:type="dxa"/>
            <w:vAlign w:val="center"/>
          </w:tcPr>
          <w:p w14:paraId="375FE34A" w14:textId="4B26FE68" w:rsidR="00BF57F7" w:rsidRDefault="00EF374B" w:rsidP="00BF57F7">
            <w:pPr>
              <w:tabs>
                <w:tab w:val="left" w:pos="1590"/>
              </w:tabs>
              <w:jc w:val="center"/>
              <w:rPr>
                <w:rFonts w:ascii="Arial" w:hAnsi="Arial" w:cs="Arial"/>
              </w:rPr>
            </w:pPr>
            <w:r>
              <w:rPr>
                <w:rFonts w:ascii="Arial" w:hAnsi="Arial" w:cs="Arial"/>
              </w:rPr>
              <w:t>1.50</w:t>
            </w:r>
          </w:p>
        </w:tc>
        <w:tc>
          <w:tcPr>
            <w:tcW w:w="2254" w:type="dxa"/>
            <w:vAlign w:val="center"/>
          </w:tcPr>
          <w:p w14:paraId="749F5BA8" w14:textId="6F71F0F9" w:rsidR="00BF57F7" w:rsidRDefault="00EF374B" w:rsidP="005E059D">
            <w:pPr>
              <w:tabs>
                <w:tab w:val="left" w:pos="1590"/>
              </w:tabs>
              <w:jc w:val="center"/>
              <w:rPr>
                <w:rFonts w:ascii="Arial" w:hAnsi="Arial" w:cs="Arial"/>
              </w:rPr>
            </w:pPr>
            <w:r>
              <w:rPr>
                <w:rFonts w:ascii="Arial" w:hAnsi="Arial" w:cs="Arial"/>
              </w:rPr>
              <w:t>£</w:t>
            </w:r>
            <w:r w:rsidR="00CA42D4">
              <w:rPr>
                <w:rFonts w:ascii="Arial" w:hAnsi="Arial" w:cs="Arial"/>
              </w:rPr>
              <w:t>513.31</w:t>
            </w:r>
          </w:p>
        </w:tc>
        <w:tc>
          <w:tcPr>
            <w:tcW w:w="2254" w:type="dxa"/>
            <w:vAlign w:val="center"/>
          </w:tcPr>
          <w:p w14:paraId="208C2AB4" w14:textId="6BC66111" w:rsidR="00BF57F7" w:rsidRDefault="00EF374B" w:rsidP="005E059D">
            <w:pPr>
              <w:tabs>
                <w:tab w:val="left" w:pos="1590"/>
              </w:tabs>
              <w:jc w:val="center"/>
              <w:rPr>
                <w:rFonts w:ascii="Arial" w:hAnsi="Arial" w:cs="Arial"/>
              </w:rPr>
            </w:pPr>
            <w:r>
              <w:rPr>
                <w:rFonts w:ascii="Arial" w:hAnsi="Arial" w:cs="Arial"/>
              </w:rPr>
              <w:t>£</w:t>
            </w:r>
            <w:r w:rsidR="00E67144">
              <w:rPr>
                <w:rFonts w:ascii="Arial" w:hAnsi="Arial" w:cs="Arial"/>
              </w:rPr>
              <w:t>206.30</w:t>
            </w:r>
          </w:p>
        </w:tc>
      </w:tr>
      <w:tr w:rsidR="00BF57F7" w14:paraId="2D1048DF" w14:textId="77777777" w:rsidTr="00BF57F7">
        <w:trPr>
          <w:trHeight w:val="567"/>
        </w:trPr>
        <w:tc>
          <w:tcPr>
            <w:tcW w:w="2254" w:type="dxa"/>
            <w:vAlign w:val="center"/>
          </w:tcPr>
          <w:p w14:paraId="3CD23970" w14:textId="4635D7FE" w:rsidR="00BF57F7" w:rsidRDefault="00EF374B" w:rsidP="00BF57F7">
            <w:pPr>
              <w:tabs>
                <w:tab w:val="left" w:pos="1590"/>
              </w:tabs>
              <w:jc w:val="center"/>
              <w:rPr>
                <w:rFonts w:ascii="Arial" w:hAnsi="Arial" w:cs="Arial"/>
              </w:rPr>
            </w:pPr>
            <w:r>
              <w:rPr>
                <w:rFonts w:ascii="Arial" w:hAnsi="Arial" w:cs="Arial"/>
              </w:rPr>
              <w:t>50/54</w:t>
            </w:r>
          </w:p>
        </w:tc>
        <w:tc>
          <w:tcPr>
            <w:tcW w:w="2254" w:type="dxa"/>
            <w:vAlign w:val="center"/>
          </w:tcPr>
          <w:p w14:paraId="67F26337" w14:textId="24A9DAD2" w:rsidR="00BF57F7" w:rsidRDefault="00EF374B" w:rsidP="00BF57F7">
            <w:pPr>
              <w:tabs>
                <w:tab w:val="left" w:pos="1590"/>
              </w:tabs>
              <w:jc w:val="center"/>
              <w:rPr>
                <w:rFonts w:ascii="Arial" w:hAnsi="Arial" w:cs="Arial"/>
              </w:rPr>
            </w:pPr>
            <w:r>
              <w:rPr>
                <w:rFonts w:ascii="Arial" w:hAnsi="Arial" w:cs="Arial"/>
              </w:rPr>
              <w:t>2.00</w:t>
            </w:r>
          </w:p>
        </w:tc>
        <w:tc>
          <w:tcPr>
            <w:tcW w:w="2254" w:type="dxa"/>
            <w:vAlign w:val="center"/>
          </w:tcPr>
          <w:p w14:paraId="58D5138A" w14:textId="7D419C7B" w:rsidR="00BF57F7" w:rsidRDefault="00EF374B" w:rsidP="005E059D">
            <w:pPr>
              <w:tabs>
                <w:tab w:val="left" w:pos="1590"/>
              </w:tabs>
              <w:jc w:val="center"/>
              <w:rPr>
                <w:rFonts w:ascii="Arial" w:hAnsi="Arial" w:cs="Arial"/>
              </w:rPr>
            </w:pPr>
            <w:r>
              <w:rPr>
                <w:rFonts w:ascii="Arial" w:hAnsi="Arial" w:cs="Arial"/>
              </w:rPr>
              <w:t>£</w:t>
            </w:r>
            <w:r w:rsidR="00CA42D4">
              <w:rPr>
                <w:rFonts w:ascii="Arial" w:hAnsi="Arial" w:cs="Arial"/>
              </w:rPr>
              <w:t>911.42</w:t>
            </w:r>
          </w:p>
        </w:tc>
        <w:tc>
          <w:tcPr>
            <w:tcW w:w="2254" w:type="dxa"/>
            <w:vAlign w:val="center"/>
          </w:tcPr>
          <w:p w14:paraId="015B77D1" w14:textId="46B0E4DC" w:rsidR="00BF57F7" w:rsidRDefault="00EF374B" w:rsidP="005E059D">
            <w:pPr>
              <w:tabs>
                <w:tab w:val="left" w:pos="1590"/>
              </w:tabs>
              <w:jc w:val="center"/>
              <w:rPr>
                <w:rFonts w:ascii="Arial" w:hAnsi="Arial" w:cs="Arial"/>
              </w:rPr>
            </w:pPr>
            <w:r>
              <w:rPr>
                <w:rFonts w:ascii="Arial" w:hAnsi="Arial" w:cs="Arial"/>
              </w:rPr>
              <w:t>£</w:t>
            </w:r>
            <w:r w:rsidR="00E67144">
              <w:rPr>
                <w:rFonts w:ascii="Arial" w:hAnsi="Arial" w:cs="Arial"/>
              </w:rPr>
              <w:t>367.03</w:t>
            </w:r>
          </w:p>
        </w:tc>
      </w:tr>
      <w:tr w:rsidR="00BF57F7" w14:paraId="26CC141A" w14:textId="77777777" w:rsidTr="00BF57F7">
        <w:trPr>
          <w:trHeight w:val="567"/>
        </w:trPr>
        <w:tc>
          <w:tcPr>
            <w:tcW w:w="2254" w:type="dxa"/>
            <w:vAlign w:val="center"/>
          </w:tcPr>
          <w:p w14:paraId="6FCFB08B" w14:textId="10CC668F" w:rsidR="00BF57F7" w:rsidRDefault="00EF374B" w:rsidP="00BF57F7">
            <w:pPr>
              <w:tabs>
                <w:tab w:val="left" w:pos="1590"/>
              </w:tabs>
              <w:jc w:val="center"/>
              <w:rPr>
                <w:rFonts w:ascii="Arial" w:hAnsi="Arial" w:cs="Arial"/>
              </w:rPr>
            </w:pPr>
            <w:r>
              <w:rPr>
                <w:rFonts w:ascii="Arial" w:hAnsi="Arial" w:cs="Arial"/>
              </w:rPr>
              <w:t>65</w:t>
            </w:r>
          </w:p>
        </w:tc>
        <w:tc>
          <w:tcPr>
            <w:tcW w:w="2254" w:type="dxa"/>
            <w:vAlign w:val="center"/>
          </w:tcPr>
          <w:p w14:paraId="0DB4ACBA" w14:textId="714659A1" w:rsidR="00BF57F7" w:rsidRDefault="00EF374B" w:rsidP="00BF57F7">
            <w:pPr>
              <w:tabs>
                <w:tab w:val="left" w:pos="1590"/>
              </w:tabs>
              <w:jc w:val="center"/>
              <w:rPr>
                <w:rFonts w:ascii="Arial" w:hAnsi="Arial" w:cs="Arial"/>
              </w:rPr>
            </w:pPr>
            <w:r>
              <w:rPr>
                <w:rFonts w:ascii="Arial" w:hAnsi="Arial" w:cs="Arial"/>
              </w:rPr>
              <w:t>2.50</w:t>
            </w:r>
          </w:p>
        </w:tc>
        <w:tc>
          <w:tcPr>
            <w:tcW w:w="2254" w:type="dxa"/>
            <w:vAlign w:val="center"/>
          </w:tcPr>
          <w:p w14:paraId="67530228" w14:textId="5425BF42" w:rsidR="00BF57F7" w:rsidRDefault="00EF374B" w:rsidP="005E059D">
            <w:pPr>
              <w:tabs>
                <w:tab w:val="left" w:pos="1590"/>
              </w:tabs>
              <w:jc w:val="center"/>
              <w:rPr>
                <w:rFonts w:ascii="Arial" w:hAnsi="Arial" w:cs="Arial"/>
              </w:rPr>
            </w:pPr>
            <w:r>
              <w:rPr>
                <w:rFonts w:ascii="Arial" w:hAnsi="Arial" w:cs="Arial"/>
              </w:rPr>
              <w:t>£</w:t>
            </w:r>
            <w:r w:rsidR="007F7C33">
              <w:rPr>
                <w:rFonts w:ascii="Arial" w:hAnsi="Arial" w:cs="Arial"/>
              </w:rPr>
              <w:t>1,</w:t>
            </w:r>
            <w:r w:rsidR="00954273">
              <w:rPr>
                <w:rFonts w:ascii="Arial" w:hAnsi="Arial" w:cs="Arial"/>
              </w:rPr>
              <w:t>425.90</w:t>
            </w:r>
          </w:p>
        </w:tc>
        <w:tc>
          <w:tcPr>
            <w:tcW w:w="2254" w:type="dxa"/>
            <w:vAlign w:val="center"/>
          </w:tcPr>
          <w:p w14:paraId="7686A746" w14:textId="5B7616AD" w:rsidR="00BF57F7" w:rsidRDefault="00EF374B" w:rsidP="005E059D">
            <w:pPr>
              <w:tabs>
                <w:tab w:val="left" w:pos="1590"/>
              </w:tabs>
              <w:jc w:val="center"/>
              <w:rPr>
                <w:rFonts w:ascii="Arial" w:hAnsi="Arial" w:cs="Arial"/>
              </w:rPr>
            </w:pPr>
            <w:r>
              <w:rPr>
                <w:rFonts w:ascii="Arial" w:hAnsi="Arial" w:cs="Arial"/>
              </w:rPr>
              <w:t>£</w:t>
            </w:r>
            <w:r w:rsidR="00E67144">
              <w:rPr>
                <w:rFonts w:ascii="Arial" w:hAnsi="Arial" w:cs="Arial"/>
              </w:rPr>
              <w:t>574.54</w:t>
            </w:r>
          </w:p>
        </w:tc>
      </w:tr>
      <w:tr w:rsidR="00BF57F7" w14:paraId="7F80A5DA" w14:textId="77777777" w:rsidTr="00BF57F7">
        <w:trPr>
          <w:trHeight w:val="567"/>
        </w:trPr>
        <w:tc>
          <w:tcPr>
            <w:tcW w:w="2254" w:type="dxa"/>
            <w:vAlign w:val="center"/>
          </w:tcPr>
          <w:p w14:paraId="7E2C0408" w14:textId="168B22CA" w:rsidR="00BF57F7" w:rsidRDefault="00EF374B" w:rsidP="00BF57F7">
            <w:pPr>
              <w:tabs>
                <w:tab w:val="left" w:pos="1590"/>
              </w:tabs>
              <w:jc w:val="center"/>
              <w:rPr>
                <w:rFonts w:ascii="Arial" w:hAnsi="Arial" w:cs="Arial"/>
              </w:rPr>
            </w:pPr>
            <w:r>
              <w:rPr>
                <w:rFonts w:ascii="Arial" w:hAnsi="Arial" w:cs="Arial"/>
              </w:rPr>
              <w:t>75/80</w:t>
            </w:r>
          </w:p>
        </w:tc>
        <w:tc>
          <w:tcPr>
            <w:tcW w:w="2254" w:type="dxa"/>
            <w:vAlign w:val="center"/>
          </w:tcPr>
          <w:p w14:paraId="79A397E5" w14:textId="0C463159" w:rsidR="00BF57F7" w:rsidRDefault="00EF374B" w:rsidP="00BF57F7">
            <w:pPr>
              <w:tabs>
                <w:tab w:val="left" w:pos="1590"/>
              </w:tabs>
              <w:jc w:val="center"/>
              <w:rPr>
                <w:rFonts w:ascii="Arial" w:hAnsi="Arial" w:cs="Arial"/>
              </w:rPr>
            </w:pPr>
            <w:r>
              <w:rPr>
                <w:rFonts w:ascii="Arial" w:hAnsi="Arial" w:cs="Arial"/>
              </w:rPr>
              <w:t>3.00</w:t>
            </w:r>
          </w:p>
        </w:tc>
        <w:tc>
          <w:tcPr>
            <w:tcW w:w="2254" w:type="dxa"/>
            <w:vAlign w:val="center"/>
          </w:tcPr>
          <w:p w14:paraId="1407291A" w14:textId="267AEA09" w:rsidR="00BF57F7" w:rsidRDefault="00EF374B" w:rsidP="005E059D">
            <w:pPr>
              <w:tabs>
                <w:tab w:val="left" w:pos="1590"/>
              </w:tabs>
              <w:jc w:val="center"/>
              <w:rPr>
                <w:rFonts w:ascii="Arial" w:hAnsi="Arial" w:cs="Arial"/>
              </w:rPr>
            </w:pPr>
            <w:r>
              <w:rPr>
                <w:rFonts w:ascii="Arial" w:hAnsi="Arial" w:cs="Arial"/>
              </w:rPr>
              <w:t>£</w:t>
            </w:r>
            <w:r w:rsidR="00954273">
              <w:rPr>
                <w:rFonts w:ascii="Arial" w:hAnsi="Arial" w:cs="Arial"/>
              </w:rPr>
              <w:t>2,051.63</w:t>
            </w:r>
          </w:p>
        </w:tc>
        <w:tc>
          <w:tcPr>
            <w:tcW w:w="2254" w:type="dxa"/>
            <w:vAlign w:val="center"/>
          </w:tcPr>
          <w:p w14:paraId="71C07620" w14:textId="43690ED0" w:rsidR="00BF57F7" w:rsidRDefault="00EF374B" w:rsidP="005E059D">
            <w:pPr>
              <w:tabs>
                <w:tab w:val="left" w:pos="1590"/>
              </w:tabs>
              <w:jc w:val="center"/>
              <w:rPr>
                <w:rFonts w:ascii="Arial" w:hAnsi="Arial" w:cs="Arial"/>
              </w:rPr>
            </w:pPr>
            <w:r>
              <w:rPr>
                <w:rFonts w:ascii="Arial" w:hAnsi="Arial" w:cs="Arial"/>
              </w:rPr>
              <w:t>£</w:t>
            </w:r>
            <w:r w:rsidR="009C5621">
              <w:rPr>
                <w:rFonts w:ascii="Arial" w:hAnsi="Arial" w:cs="Arial"/>
              </w:rPr>
              <w:t>826.42</w:t>
            </w:r>
          </w:p>
        </w:tc>
      </w:tr>
      <w:tr w:rsidR="00BF57F7" w14:paraId="39B0C2FD" w14:textId="77777777" w:rsidTr="00BF57F7">
        <w:trPr>
          <w:trHeight w:val="567"/>
        </w:trPr>
        <w:tc>
          <w:tcPr>
            <w:tcW w:w="2254" w:type="dxa"/>
            <w:vAlign w:val="center"/>
          </w:tcPr>
          <w:p w14:paraId="0567A2B2" w14:textId="635DF55C" w:rsidR="00BF57F7" w:rsidRDefault="00EF374B" w:rsidP="00BF57F7">
            <w:pPr>
              <w:tabs>
                <w:tab w:val="left" w:pos="1590"/>
              </w:tabs>
              <w:jc w:val="center"/>
              <w:rPr>
                <w:rFonts w:ascii="Arial" w:hAnsi="Arial" w:cs="Arial"/>
              </w:rPr>
            </w:pPr>
            <w:r>
              <w:rPr>
                <w:rFonts w:ascii="Arial" w:hAnsi="Arial" w:cs="Arial"/>
              </w:rPr>
              <w:t>100</w:t>
            </w:r>
          </w:p>
        </w:tc>
        <w:tc>
          <w:tcPr>
            <w:tcW w:w="2254" w:type="dxa"/>
            <w:vAlign w:val="center"/>
          </w:tcPr>
          <w:p w14:paraId="73D93BEF" w14:textId="595F068C" w:rsidR="00BF57F7" w:rsidRDefault="00EF374B" w:rsidP="00BF57F7">
            <w:pPr>
              <w:tabs>
                <w:tab w:val="left" w:pos="1590"/>
              </w:tabs>
              <w:jc w:val="center"/>
              <w:rPr>
                <w:rFonts w:ascii="Arial" w:hAnsi="Arial" w:cs="Arial"/>
              </w:rPr>
            </w:pPr>
            <w:r>
              <w:rPr>
                <w:rFonts w:ascii="Arial" w:hAnsi="Arial" w:cs="Arial"/>
              </w:rPr>
              <w:t>4.00</w:t>
            </w:r>
          </w:p>
        </w:tc>
        <w:tc>
          <w:tcPr>
            <w:tcW w:w="2254" w:type="dxa"/>
            <w:vAlign w:val="center"/>
          </w:tcPr>
          <w:p w14:paraId="6FDD45A5" w14:textId="1F6B9F50" w:rsidR="00BF57F7" w:rsidRDefault="00EF374B" w:rsidP="005E059D">
            <w:pPr>
              <w:tabs>
                <w:tab w:val="left" w:pos="1590"/>
              </w:tabs>
              <w:jc w:val="center"/>
              <w:rPr>
                <w:rFonts w:ascii="Arial" w:hAnsi="Arial" w:cs="Arial"/>
              </w:rPr>
            </w:pPr>
            <w:r>
              <w:rPr>
                <w:rFonts w:ascii="Arial" w:hAnsi="Arial" w:cs="Arial"/>
              </w:rPr>
              <w:t>£</w:t>
            </w:r>
            <w:r w:rsidR="00954273">
              <w:rPr>
                <w:rFonts w:ascii="Arial" w:hAnsi="Arial" w:cs="Arial"/>
              </w:rPr>
              <w:t>3,648.24</w:t>
            </w:r>
          </w:p>
        </w:tc>
        <w:tc>
          <w:tcPr>
            <w:tcW w:w="2254" w:type="dxa"/>
            <w:vAlign w:val="center"/>
          </w:tcPr>
          <w:p w14:paraId="16C5B4AB" w14:textId="60785441" w:rsidR="00BF57F7" w:rsidRDefault="00EF374B" w:rsidP="005E059D">
            <w:pPr>
              <w:tabs>
                <w:tab w:val="left" w:pos="1590"/>
              </w:tabs>
              <w:jc w:val="center"/>
              <w:rPr>
                <w:rFonts w:ascii="Arial" w:hAnsi="Arial" w:cs="Arial"/>
              </w:rPr>
            </w:pPr>
            <w:r>
              <w:rPr>
                <w:rFonts w:ascii="Arial" w:hAnsi="Arial" w:cs="Arial"/>
              </w:rPr>
              <w:t>£</w:t>
            </w:r>
            <w:r w:rsidR="007F7C33">
              <w:rPr>
                <w:rFonts w:ascii="Arial" w:hAnsi="Arial" w:cs="Arial"/>
              </w:rPr>
              <w:t>1,</w:t>
            </w:r>
            <w:r w:rsidR="009C5621">
              <w:rPr>
                <w:rFonts w:ascii="Arial" w:hAnsi="Arial" w:cs="Arial"/>
              </w:rPr>
              <w:t>469.31</w:t>
            </w:r>
          </w:p>
        </w:tc>
      </w:tr>
    </w:tbl>
    <w:p w14:paraId="3FED5348" w14:textId="74FA6B76" w:rsidR="00BF57F7" w:rsidRDefault="00BF57F7" w:rsidP="00BF57F7">
      <w:pPr>
        <w:tabs>
          <w:tab w:val="left" w:pos="1590"/>
        </w:tabs>
        <w:rPr>
          <w:rFonts w:ascii="Arial" w:hAnsi="Arial" w:cs="Arial"/>
        </w:rPr>
      </w:pPr>
    </w:p>
    <w:p w14:paraId="06F0AF26" w14:textId="5DB0439B" w:rsidR="00EF374B" w:rsidRDefault="00EF374B" w:rsidP="00BF57F7">
      <w:pPr>
        <w:tabs>
          <w:tab w:val="left" w:pos="1590"/>
        </w:tabs>
        <w:rPr>
          <w:rFonts w:ascii="Arial" w:hAnsi="Arial" w:cs="Arial"/>
        </w:rPr>
      </w:pPr>
      <w:r w:rsidRPr="00EF374B">
        <w:rPr>
          <w:rFonts w:ascii="Arial" w:hAnsi="Arial" w:cs="Arial"/>
        </w:rPr>
        <w:t xml:space="preserve">*Where a non-household premises does not discharge surface water to our sewers, an abatement can be claimed based on pipe size. </w:t>
      </w:r>
    </w:p>
    <w:p w14:paraId="4E1E6A9F" w14:textId="7FED4361" w:rsidR="00FB431F" w:rsidRDefault="00FB431F" w:rsidP="00BF57F7">
      <w:pPr>
        <w:tabs>
          <w:tab w:val="left" w:pos="1590"/>
        </w:tabs>
        <w:rPr>
          <w:rFonts w:ascii="Arial" w:hAnsi="Arial" w:cs="Arial"/>
        </w:rPr>
      </w:pPr>
    </w:p>
    <w:p w14:paraId="4C3ED67A" w14:textId="21B6D213" w:rsidR="00FB431F" w:rsidRDefault="00FB431F" w:rsidP="00BF57F7">
      <w:pPr>
        <w:tabs>
          <w:tab w:val="left" w:pos="1590"/>
        </w:tabs>
        <w:rPr>
          <w:rFonts w:ascii="Arial" w:hAnsi="Arial" w:cs="Arial"/>
        </w:rPr>
      </w:pPr>
    </w:p>
    <w:p w14:paraId="7DA5EEE0" w14:textId="77777777" w:rsidR="00FB431F" w:rsidRDefault="00FB431F" w:rsidP="00BF57F7">
      <w:pPr>
        <w:tabs>
          <w:tab w:val="left" w:pos="1590"/>
        </w:tabs>
        <w:rPr>
          <w:rFonts w:ascii="Arial" w:hAnsi="Arial" w:cs="Arial"/>
        </w:rPr>
      </w:pPr>
    </w:p>
    <w:p w14:paraId="1523C9CF" w14:textId="1901B7AF" w:rsidR="0010716F" w:rsidRDefault="0010716F" w:rsidP="00BF57F7">
      <w:pPr>
        <w:tabs>
          <w:tab w:val="left" w:pos="1590"/>
        </w:tabs>
        <w:rPr>
          <w:rFonts w:ascii="Arial" w:hAnsi="Arial" w:cs="Arial"/>
        </w:rPr>
      </w:pPr>
    </w:p>
    <w:p w14:paraId="71F071DD" w14:textId="545494B7" w:rsidR="0010716F" w:rsidRDefault="0010716F" w:rsidP="00BF57F7">
      <w:pPr>
        <w:tabs>
          <w:tab w:val="left" w:pos="1590"/>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8656" behindDoc="0" locked="0" layoutInCell="1" allowOverlap="1" wp14:anchorId="42D507B2" wp14:editId="581513CB">
                <wp:simplePos x="0" y="0"/>
                <wp:positionH relativeFrom="column">
                  <wp:posOffset>-857250</wp:posOffset>
                </wp:positionH>
                <wp:positionV relativeFrom="paragraph">
                  <wp:posOffset>-57785</wp:posOffset>
                </wp:positionV>
                <wp:extent cx="7418070" cy="361666"/>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1C01E3D" w14:textId="3282AF1F"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B.1.9 Trade effluent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07B2" id="Text Box 21" o:spid="_x0000_s1051" type="#_x0000_t202" style="position:absolute;margin-left:-67.5pt;margin-top:-4.55pt;width:584.1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" fillcolor="#069" stroked="f" strokeweight=".5pt">
                <v:textbox>
                  <w:txbxContent>
                    <w:p w14:paraId="11C01E3D" w14:textId="3282AF1F"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B.1.9 Trade effluent charges</w:t>
                      </w:r>
                    </w:p>
                  </w:txbxContent>
                </v:textbox>
              </v:shape>
            </w:pict>
          </mc:Fallback>
        </mc:AlternateContent>
      </w:r>
    </w:p>
    <w:p w14:paraId="4BDA0107" w14:textId="79FF5284" w:rsidR="0010716F" w:rsidRPr="0010716F" w:rsidRDefault="0010716F" w:rsidP="0010716F">
      <w:pPr>
        <w:rPr>
          <w:rFonts w:ascii="Arial" w:hAnsi="Arial" w:cs="Arial"/>
        </w:rPr>
      </w:pPr>
    </w:p>
    <w:p w14:paraId="0C24E5E3" w14:textId="77777777" w:rsidR="0010716F" w:rsidRPr="0010716F" w:rsidRDefault="0010716F" w:rsidP="0010716F">
      <w:pPr>
        <w:tabs>
          <w:tab w:val="left" w:pos="1725"/>
        </w:tabs>
        <w:rPr>
          <w:rFonts w:ascii="Arial" w:hAnsi="Arial" w:cs="Arial"/>
        </w:rPr>
      </w:pPr>
      <w:r w:rsidRPr="0010716F">
        <w:rPr>
          <w:rFonts w:ascii="Arial" w:hAnsi="Arial" w:cs="Arial"/>
        </w:rPr>
        <w:t xml:space="preserve">Trade effluent charges apply for the treatment and disposal of effluent from trade discharges into the public sewer system. </w:t>
      </w:r>
    </w:p>
    <w:p w14:paraId="0CE8E561" w14:textId="77777777" w:rsidR="0010716F" w:rsidRPr="0010716F" w:rsidRDefault="0010716F" w:rsidP="0010716F">
      <w:pPr>
        <w:tabs>
          <w:tab w:val="left" w:pos="1725"/>
        </w:tabs>
        <w:rPr>
          <w:rFonts w:ascii="Arial" w:hAnsi="Arial" w:cs="Arial"/>
        </w:rPr>
      </w:pPr>
      <w:r w:rsidRPr="0010716F">
        <w:rPr>
          <w:rFonts w:ascii="Arial" w:hAnsi="Arial" w:cs="Arial"/>
        </w:rPr>
        <w:t xml:space="preserve">Where a discharge is a mixture of trade effluent and domestic sewage, we will determine how much of each is discharged and apply charges as appropriate. </w:t>
      </w:r>
    </w:p>
    <w:p w14:paraId="6ED34C49" w14:textId="77777777" w:rsidR="0010716F" w:rsidRPr="0010716F" w:rsidRDefault="0010716F" w:rsidP="0010716F">
      <w:pPr>
        <w:tabs>
          <w:tab w:val="left" w:pos="1725"/>
        </w:tabs>
        <w:rPr>
          <w:rFonts w:ascii="Arial" w:hAnsi="Arial" w:cs="Arial"/>
        </w:rPr>
      </w:pPr>
      <w:r w:rsidRPr="0010716F">
        <w:rPr>
          <w:rFonts w:ascii="Arial" w:hAnsi="Arial" w:cs="Arial"/>
        </w:rPr>
        <w:t xml:space="preserve">Trade Effluent charges are levied as follows: </w:t>
      </w:r>
    </w:p>
    <w:p w14:paraId="3749A948"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reception (based on metered usage and volumetric unit rate</w:t>
      </w:r>
      <w:proofErr w:type="gramStart"/>
      <w:r w:rsidRPr="0010716F">
        <w:rPr>
          <w:rFonts w:ascii="Arial" w:hAnsi="Arial" w:cs="Arial"/>
        </w:rPr>
        <w:t>);</w:t>
      </w:r>
      <w:proofErr w:type="gramEnd"/>
      <w:r w:rsidRPr="0010716F">
        <w:rPr>
          <w:rFonts w:ascii="Arial" w:hAnsi="Arial" w:cs="Arial"/>
        </w:rPr>
        <w:t xml:space="preserve"> </w:t>
      </w:r>
    </w:p>
    <w:p w14:paraId="572E4974"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primary treatment (based on metered usage and volumetric unit rate</w:t>
      </w:r>
      <w:proofErr w:type="gramStart"/>
      <w:r w:rsidRPr="0010716F">
        <w:rPr>
          <w:rFonts w:ascii="Arial" w:hAnsi="Arial" w:cs="Arial"/>
        </w:rPr>
        <w:t>);</w:t>
      </w:r>
      <w:proofErr w:type="gramEnd"/>
      <w:r w:rsidRPr="0010716F">
        <w:rPr>
          <w:rFonts w:ascii="Arial" w:hAnsi="Arial" w:cs="Arial"/>
        </w:rPr>
        <w:t xml:space="preserve"> </w:t>
      </w:r>
    </w:p>
    <w:p w14:paraId="09DE3B55"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biological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0EAD6720"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solids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6C26683F"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ammonia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21607663"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Fixed charge for trade effluent services (charge varies by consumption band); and </w:t>
      </w:r>
    </w:p>
    <w:p w14:paraId="02743307"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Supplementary trade effluent annual charge for large user status. </w:t>
      </w:r>
    </w:p>
    <w:p w14:paraId="3A645F8A" w14:textId="71EC1BCB" w:rsidR="0010716F" w:rsidRPr="0010716F" w:rsidRDefault="0010716F" w:rsidP="0010716F">
      <w:pPr>
        <w:tabs>
          <w:tab w:val="left" w:pos="1725"/>
        </w:tabs>
        <w:rPr>
          <w:rFonts w:ascii="Arial" w:hAnsi="Arial" w:cs="Arial"/>
        </w:rPr>
      </w:pPr>
      <w:r w:rsidRPr="0010716F">
        <w:rPr>
          <w:rFonts w:ascii="Arial" w:hAnsi="Arial" w:cs="Arial"/>
        </w:rPr>
        <w:t xml:space="preserve">In addition, a fixed charge and volume charge for wastewater services as detailed in </w:t>
      </w:r>
      <w:r w:rsidRPr="0005122D">
        <w:rPr>
          <w:rFonts w:ascii="Arial" w:hAnsi="Arial" w:cs="Arial"/>
        </w:rPr>
        <w:t>section B.1</w:t>
      </w:r>
      <w:r w:rsidR="00D3362A">
        <w:rPr>
          <w:rFonts w:ascii="Arial" w:hAnsi="Arial" w:cs="Arial"/>
        </w:rPr>
        <w:t>.1 &amp; B.1.2</w:t>
      </w:r>
      <w:r w:rsidRPr="0010716F">
        <w:rPr>
          <w:rFonts w:ascii="Arial" w:hAnsi="Arial" w:cs="Arial"/>
        </w:rPr>
        <w:t xml:space="preserve"> are also payable.</w:t>
      </w:r>
    </w:p>
    <w:p w14:paraId="5BF618FD" w14:textId="77777777" w:rsidR="0010716F" w:rsidRPr="0010716F" w:rsidRDefault="0010716F" w:rsidP="0010716F">
      <w:pPr>
        <w:tabs>
          <w:tab w:val="left" w:pos="1725"/>
        </w:tabs>
        <w:rPr>
          <w:rFonts w:ascii="Arial" w:hAnsi="Arial" w:cs="Arial"/>
        </w:rPr>
      </w:pPr>
      <w:r w:rsidRPr="0010716F">
        <w:rPr>
          <w:rFonts w:ascii="Arial" w:hAnsi="Arial" w:cs="Arial"/>
        </w:rPr>
        <w:t xml:space="preserve">Volume charges for trade effluent are calculated by applying the following standard charges to the trade effluent formula shown in Part A: Primary charges scheme. </w:t>
      </w:r>
    </w:p>
    <w:p w14:paraId="526602EF" w14:textId="56588883" w:rsidR="0010716F" w:rsidRDefault="0010716F" w:rsidP="0010716F">
      <w:pPr>
        <w:tabs>
          <w:tab w:val="left" w:pos="1725"/>
        </w:tabs>
        <w:rPr>
          <w:rFonts w:ascii="Arial" w:hAnsi="Arial" w:cs="Arial"/>
        </w:rPr>
      </w:pPr>
      <w:r w:rsidRPr="0010716F">
        <w:rPr>
          <w:rFonts w:ascii="Arial" w:hAnsi="Arial" w:cs="Arial"/>
        </w:rPr>
        <w:t>Additional charges apply relating to sampling and analysis. These charges are detailed in Part C: Non-primary charges scheme and schedule.</w:t>
      </w:r>
    </w:p>
    <w:p w14:paraId="1D79F291" w14:textId="4664128A" w:rsidR="0010716F" w:rsidRDefault="0010716F" w:rsidP="0010716F">
      <w:pPr>
        <w:tabs>
          <w:tab w:val="left" w:pos="1725"/>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0704" behindDoc="0" locked="0" layoutInCell="1" allowOverlap="1" wp14:anchorId="04093D31" wp14:editId="14EE327C">
                <wp:simplePos x="0" y="0"/>
                <wp:positionH relativeFrom="column">
                  <wp:posOffset>-857250</wp:posOffset>
                </wp:positionH>
                <wp:positionV relativeFrom="paragraph">
                  <wp:posOffset>160020</wp:posOffset>
                </wp:positionV>
                <wp:extent cx="7418070" cy="361666"/>
                <wp:effectExtent l="0" t="0" r="0" b="635"/>
                <wp:wrapNone/>
                <wp:docPr id="26" name="Text Box 2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91DE5B5" w14:textId="3DA42629"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B.2.0 Standard volume charge per cubic metre or kg of trade effluent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3D31" id="Text Box 26" o:spid="_x0000_s1052" type="#_x0000_t202" style="position:absolute;margin-left:-67.5pt;margin-top:12.6pt;width:584.1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" fillcolor="#069" stroked="f" strokeweight=".5pt">
                <v:textbox>
                  <w:txbxContent>
                    <w:p w14:paraId="591DE5B5" w14:textId="3DA42629"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B.2.0 Standard volume charge per cubic metre or kg of trade effluent</w:t>
                      </w:r>
                    </w:p>
                  </w:txbxContent>
                </v:textbox>
              </v:shape>
            </w:pict>
          </mc:Fallback>
        </mc:AlternateContent>
      </w:r>
    </w:p>
    <w:p w14:paraId="5011E228" w14:textId="7A9A53A6" w:rsidR="0010716F" w:rsidRDefault="0010716F" w:rsidP="0010716F">
      <w:pPr>
        <w:tabs>
          <w:tab w:val="left" w:pos="1725"/>
        </w:tabs>
        <w:rPr>
          <w:rFonts w:ascii="Arial" w:hAnsi="Arial" w:cs="Arial"/>
        </w:rPr>
      </w:pPr>
    </w:p>
    <w:p w14:paraId="0D87FB86" w14:textId="77777777" w:rsidR="00A96447" w:rsidRDefault="00A96447" w:rsidP="0010716F">
      <w:pPr>
        <w:tabs>
          <w:tab w:val="left" w:pos="1725"/>
        </w:tabs>
        <w:rPr>
          <w:rFonts w:ascii="Arial" w:hAnsi="Arial" w:cs="Arial"/>
        </w:rPr>
      </w:pPr>
    </w:p>
    <w:tbl>
      <w:tblPr>
        <w:tblStyle w:val="TableGrid"/>
        <w:tblW w:w="0" w:type="auto"/>
        <w:tblLook w:val="04A0" w:firstRow="1" w:lastRow="0" w:firstColumn="1" w:lastColumn="0" w:noHBand="0" w:noVBand="1"/>
      </w:tblPr>
      <w:tblGrid>
        <w:gridCol w:w="4508"/>
        <w:gridCol w:w="4508"/>
      </w:tblGrid>
      <w:tr w:rsidR="0010716F" w14:paraId="1D2F9B93" w14:textId="77777777" w:rsidTr="0010716F">
        <w:trPr>
          <w:trHeight w:val="567"/>
        </w:trPr>
        <w:tc>
          <w:tcPr>
            <w:tcW w:w="4508" w:type="dxa"/>
            <w:shd w:val="clear" w:color="auto" w:fill="006699"/>
            <w:vAlign w:val="center"/>
          </w:tcPr>
          <w:p w14:paraId="5837C4CD" w14:textId="1F02C317" w:rsidR="0010716F" w:rsidRPr="00BF57F7" w:rsidRDefault="0010716F" w:rsidP="0010716F">
            <w:pPr>
              <w:tabs>
                <w:tab w:val="left" w:pos="939"/>
              </w:tabs>
              <w:jc w:val="center"/>
              <w:rPr>
                <w:rFonts w:ascii="Arial" w:hAnsi="Arial" w:cs="Arial"/>
                <w:b/>
                <w:color w:val="FFFFFF" w:themeColor="background1"/>
              </w:rPr>
            </w:pPr>
            <w:r>
              <w:rPr>
                <w:rFonts w:ascii="Arial" w:hAnsi="Arial" w:cs="Arial"/>
                <w:b/>
                <w:color w:val="FFFFFF" w:themeColor="background1"/>
              </w:rPr>
              <w:t>Description</w:t>
            </w:r>
          </w:p>
        </w:tc>
        <w:tc>
          <w:tcPr>
            <w:tcW w:w="4508" w:type="dxa"/>
            <w:shd w:val="clear" w:color="auto" w:fill="006699"/>
            <w:vAlign w:val="center"/>
          </w:tcPr>
          <w:p w14:paraId="6E85C6FC" w14:textId="72649DB3" w:rsidR="0010716F" w:rsidRPr="00BF57F7" w:rsidRDefault="0010716F" w:rsidP="0010716F">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10716F" w14:paraId="4A436239" w14:textId="77777777" w:rsidTr="0010716F">
        <w:trPr>
          <w:trHeight w:val="567"/>
        </w:trPr>
        <w:tc>
          <w:tcPr>
            <w:tcW w:w="4508" w:type="dxa"/>
            <w:vAlign w:val="center"/>
          </w:tcPr>
          <w:p w14:paraId="46700AC7" w14:textId="3CC9E7D2" w:rsidR="0010716F" w:rsidRDefault="0010716F" w:rsidP="0010716F">
            <w:pPr>
              <w:tabs>
                <w:tab w:val="left" w:pos="939"/>
              </w:tabs>
              <w:jc w:val="center"/>
              <w:rPr>
                <w:rFonts w:ascii="Arial" w:hAnsi="Arial" w:cs="Arial"/>
              </w:rPr>
            </w:pPr>
            <w:r>
              <w:rPr>
                <w:rFonts w:ascii="Arial" w:hAnsi="Arial" w:cs="Arial"/>
              </w:rPr>
              <w:t>Reception and Conveyance (R)</w:t>
            </w:r>
          </w:p>
        </w:tc>
        <w:tc>
          <w:tcPr>
            <w:tcW w:w="4508" w:type="dxa"/>
            <w:vAlign w:val="center"/>
          </w:tcPr>
          <w:p w14:paraId="535A4CDB" w14:textId="694C52B3" w:rsidR="0010716F" w:rsidRDefault="004B4C72" w:rsidP="0010716F">
            <w:pPr>
              <w:tabs>
                <w:tab w:val="left" w:pos="939"/>
              </w:tabs>
              <w:jc w:val="center"/>
              <w:rPr>
                <w:rFonts w:ascii="Arial" w:hAnsi="Arial" w:cs="Arial"/>
              </w:rPr>
            </w:pPr>
            <w:r>
              <w:rPr>
                <w:rFonts w:ascii="Arial" w:hAnsi="Arial" w:cs="Arial"/>
              </w:rPr>
              <w:t>15.</w:t>
            </w:r>
            <w:r w:rsidR="00C3408E">
              <w:rPr>
                <w:rFonts w:ascii="Arial" w:hAnsi="Arial" w:cs="Arial"/>
              </w:rPr>
              <w:t>95</w:t>
            </w:r>
            <w:r w:rsidR="0010716F">
              <w:rPr>
                <w:rFonts w:ascii="Arial" w:hAnsi="Arial" w:cs="Arial"/>
              </w:rPr>
              <w:t xml:space="preserve"> pence per m</w:t>
            </w:r>
            <w:r w:rsidR="0010716F" w:rsidRPr="00BF57F7">
              <w:rPr>
                <w:rFonts w:ascii="Arial" w:hAnsi="Arial" w:cs="Arial"/>
                <w:vertAlign w:val="superscript"/>
              </w:rPr>
              <w:t>3</w:t>
            </w:r>
          </w:p>
        </w:tc>
      </w:tr>
      <w:tr w:rsidR="0010716F" w14:paraId="18F2E59A" w14:textId="77777777" w:rsidTr="0010716F">
        <w:trPr>
          <w:trHeight w:val="567"/>
        </w:trPr>
        <w:tc>
          <w:tcPr>
            <w:tcW w:w="4508" w:type="dxa"/>
            <w:vAlign w:val="center"/>
          </w:tcPr>
          <w:p w14:paraId="20F95449" w14:textId="7E7603DC" w:rsidR="0010716F" w:rsidRDefault="0010716F" w:rsidP="0010716F">
            <w:pPr>
              <w:tabs>
                <w:tab w:val="left" w:pos="939"/>
              </w:tabs>
              <w:jc w:val="center"/>
              <w:rPr>
                <w:rFonts w:ascii="Arial" w:hAnsi="Arial" w:cs="Arial"/>
              </w:rPr>
            </w:pPr>
            <w:r>
              <w:rPr>
                <w:rFonts w:ascii="Arial" w:hAnsi="Arial" w:cs="Arial"/>
              </w:rPr>
              <w:t>Primary Treatment (V)</w:t>
            </w:r>
          </w:p>
        </w:tc>
        <w:tc>
          <w:tcPr>
            <w:tcW w:w="4508" w:type="dxa"/>
            <w:vAlign w:val="center"/>
          </w:tcPr>
          <w:p w14:paraId="18232FF1" w14:textId="159C67F2" w:rsidR="0010716F" w:rsidRDefault="007F7C33" w:rsidP="0010716F">
            <w:pPr>
              <w:tabs>
                <w:tab w:val="left" w:pos="939"/>
              </w:tabs>
              <w:jc w:val="center"/>
              <w:rPr>
                <w:rFonts w:ascii="Arial" w:hAnsi="Arial" w:cs="Arial"/>
              </w:rPr>
            </w:pPr>
            <w:r>
              <w:rPr>
                <w:rFonts w:ascii="Arial" w:hAnsi="Arial" w:cs="Arial"/>
              </w:rPr>
              <w:t>18.</w:t>
            </w:r>
            <w:r w:rsidR="001A0DD8">
              <w:rPr>
                <w:rFonts w:ascii="Arial" w:hAnsi="Arial" w:cs="Arial"/>
              </w:rPr>
              <w:t xml:space="preserve">65 </w:t>
            </w:r>
            <w:r w:rsidR="0010716F">
              <w:rPr>
                <w:rFonts w:ascii="Arial" w:hAnsi="Arial" w:cs="Arial"/>
              </w:rPr>
              <w:t>pence per m</w:t>
            </w:r>
            <w:r w:rsidR="0010716F" w:rsidRPr="00BF57F7">
              <w:rPr>
                <w:rFonts w:ascii="Arial" w:hAnsi="Arial" w:cs="Arial"/>
                <w:vertAlign w:val="superscript"/>
              </w:rPr>
              <w:t>3</w:t>
            </w:r>
          </w:p>
        </w:tc>
      </w:tr>
      <w:tr w:rsidR="0010716F" w14:paraId="09D3B086" w14:textId="77777777" w:rsidTr="0010716F">
        <w:trPr>
          <w:trHeight w:val="567"/>
        </w:trPr>
        <w:tc>
          <w:tcPr>
            <w:tcW w:w="4508" w:type="dxa"/>
            <w:vAlign w:val="center"/>
          </w:tcPr>
          <w:p w14:paraId="2018BBFF" w14:textId="3FCDB517" w:rsidR="0010716F" w:rsidRDefault="0010716F" w:rsidP="0010716F">
            <w:pPr>
              <w:tabs>
                <w:tab w:val="left" w:pos="939"/>
              </w:tabs>
              <w:jc w:val="center"/>
              <w:rPr>
                <w:rFonts w:ascii="Arial" w:hAnsi="Arial" w:cs="Arial"/>
              </w:rPr>
            </w:pPr>
            <w:r>
              <w:rPr>
                <w:rFonts w:ascii="Arial" w:hAnsi="Arial" w:cs="Arial"/>
              </w:rPr>
              <w:t>Biological Treatment (B)</w:t>
            </w:r>
          </w:p>
        </w:tc>
        <w:tc>
          <w:tcPr>
            <w:tcW w:w="4508" w:type="dxa"/>
            <w:vAlign w:val="center"/>
          </w:tcPr>
          <w:p w14:paraId="6FF0F429" w14:textId="483257CE" w:rsidR="0010716F" w:rsidRDefault="007F7C33" w:rsidP="0010716F">
            <w:pPr>
              <w:tabs>
                <w:tab w:val="left" w:pos="939"/>
              </w:tabs>
              <w:jc w:val="center"/>
              <w:rPr>
                <w:rFonts w:ascii="Arial" w:hAnsi="Arial" w:cs="Arial"/>
              </w:rPr>
            </w:pPr>
            <w:r>
              <w:rPr>
                <w:rFonts w:ascii="Arial" w:hAnsi="Arial" w:cs="Arial"/>
              </w:rPr>
              <w:t>23</w:t>
            </w:r>
            <w:r w:rsidR="001A0DD8">
              <w:rPr>
                <w:rFonts w:ascii="Arial" w:hAnsi="Arial" w:cs="Arial"/>
              </w:rPr>
              <w:t>.91</w:t>
            </w:r>
            <w:r w:rsidR="0010716F">
              <w:rPr>
                <w:rFonts w:ascii="Arial" w:hAnsi="Arial" w:cs="Arial"/>
              </w:rPr>
              <w:t xml:space="preserve"> pence per </w:t>
            </w:r>
            <w:r w:rsidR="00A96447">
              <w:rPr>
                <w:rFonts w:ascii="Arial" w:hAnsi="Arial" w:cs="Arial"/>
              </w:rPr>
              <w:t>kg</w:t>
            </w:r>
          </w:p>
        </w:tc>
      </w:tr>
      <w:tr w:rsidR="0010716F" w14:paraId="1C865879" w14:textId="77777777" w:rsidTr="0010716F">
        <w:trPr>
          <w:trHeight w:val="567"/>
        </w:trPr>
        <w:tc>
          <w:tcPr>
            <w:tcW w:w="4508" w:type="dxa"/>
            <w:vAlign w:val="center"/>
          </w:tcPr>
          <w:p w14:paraId="1927C040" w14:textId="40CC1921" w:rsidR="0010716F" w:rsidRDefault="0010716F" w:rsidP="0010716F">
            <w:pPr>
              <w:tabs>
                <w:tab w:val="left" w:pos="939"/>
              </w:tabs>
              <w:jc w:val="center"/>
              <w:rPr>
                <w:rFonts w:ascii="Arial" w:hAnsi="Arial" w:cs="Arial"/>
              </w:rPr>
            </w:pPr>
            <w:r>
              <w:rPr>
                <w:rFonts w:ascii="Arial" w:hAnsi="Arial" w:cs="Arial"/>
              </w:rPr>
              <w:t>Solids Treatment (S)</w:t>
            </w:r>
          </w:p>
        </w:tc>
        <w:tc>
          <w:tcPr>
            <w:tcW w:w="4508" w:type="dxa"/>
            <w:vAlign w:val="center"/>
          </w:tcPr>
          <w:p w14:paraId="25071A3D" w14:textId="3B67FAA9" w:rsidR="0010716F" w:rsidRDefault="007F7C33" w:rsidP="0010716F">
            <w:pPr>
              <w:tabs>
                <w:tab w:val="left" w:pos="939"/>
              </w:tabs>
              <w:jc w:val="center"/>
              <w:rPr>
                <w:rFonts w:ascii="Arial" w:hAnsi="Arial" w:cs="Arial"/>
              </w:rPr>
            </w:pPr>
            <w:r>
              <w:rPr>
                <w:rFonts w:ascii="Arial" w:hAnsi="Arial" w:cs="Arial"/>
              </w:rPr>
              <w:t>22.</w:t>
            </w:r>
            <w:r w:rsidR="001A0DD8">
              <w:rPr>
                <w:rFonts w:ascii="Arial" w:hAnsi="Arial" w:cs="Arial"/>
              </w:rPr>
              <w:t>88</w:t>
            </w:r>
            <w:r w:rsidR="0010716F">
              <w:rPr>
                <w:rFonts w:ascii="Arial" w:hAnsi="Arial" w:cs="Arial"/>
              </w:rPr>
              <w:t xml:space="preserve"> pence per </w:t>
            </w:r>
            <w:r w:rsidR="00A96447">
              <w:rPr>
                <w:rFonts w:ascii="Arial" w:hAnsi="Arial" w:cs="Arial"/>
              </w:rPr>
              <w:t>kg</w:t>
            </w:r>
          </w:p>
        </w:tc>
      </w:tr>
    </w:tbl>
    <w:p w14:paraId="10744996" w14:textId="34C8ECAB" w:rsidR="0010716F" w:rsidRDefault="0010716F" w:rsidP="0010716F">
      <w:pPr>
        <w:rPr>
          <w:rFonts w:ascii="Arial" w:hAnsi="Arial" w:cs="Arial"/>
        </w:rPr>
      </w:pPr>
    </w:p>
    <w:p w14:paraId="1B2C1D50" w14:textId="066D3A97" w:rsidR="00A96447" w:rsidRDefault="00A96447" w:rsidP="0010716F">
      <w:pPr>
        <w:rPr>
          <w:rFonts w:ascii="Arial" w:hAnsi="Arial" w:cs="Arial"/>
        </w:rPr>
      </w:pPr>
    </w:p>
    <w:p w14:paraId="276D72FF" w14:textId="2CE166B2" w:rsidR="00A96447" w:rsidRDefault="00A96447" w:rsidP="0010716F">
      <w:pPr>
        <w:rPr>
          <w:rFonts w:ascii="Arial" w:hAnsi="Arial" w:cs="Arial"/>
        </w:rPr>
      </w:pPr>
    </w:p>
    <w:p w14:paraId="5E2D8E22" w14:textId="373E6B65" w:rsidR="00A96447" w:rsidRDefault="00081222" w:rsidP="0010716F">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22752" behindDoc="0" locked="0" layoutInCell="1" allowOverlap="1" wp14:anchorId="112EAF04" wp14:editId="60E625CF">
                <wp:simplePos x="0" y="0"/>
                <wp:positionH relativeFrom="column">
                  <wp:posOffset>-847725</wp:posOffset>
                </wp:positionH>
                <wp:positionV relativeFrom="paragraph">
                  <wp:posOffset>-635</wp:posOffset>
                </wp:positionV>
                <wp:extent cx="7418070" cy="361666"/>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A58FC08" w14:textId="33B8AE33"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 xml:space="preserve">B.2.1 Average </w:t>
                            </w:r>
                            <w:r w:rsidRPr="00081222">
                              <w:rPr>
                                <w:rFonts w:ascii="Arial" w:hAnsi="Arial" w:cs="Arial"/>
                                <w:color w:val="FFFFFF" w:themeColor="background1"/>
                                <w:sz w:val="32"/>
                                <w:szCs w:val="32"/>
                              </w:rPr>
                              <w:t>strength factors used in trade effluent formula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AF04" id="Text Box 27" o:spid="_x0000_s1053" type="#_x0000_t202" style="position:absolute;margin-left:-66.75pt;margin-top:-.05pt;width:584.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" fillcolor="#069" stroked="f" strokeweight=".5pt">
                <v:textbox>
                  <w:txbxContent>
                    <w:p w14:paraId="7A58FC08" w14:textId="33B8AE33"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 xml:space="preserve">B.2.1 Average </w:t>
                      </w:r>
                      <w:r w:rsidRPr="00081222">
                        <w:rPr>
                          <w:rFonts w:ascii="Arial" w:hAnsi="Arial" w:cs="Arial"/>
                          <w:color w:val="FFFFFF" w:themeColor="background1"/>
                          <w:sz w:val="32"/>
                          <w:szCs w:val="32"/>
                        </w:rPr>
                        <w:t>strength factors used in trade effluent formula</w:t>
                      </w:r>
                    </w:p>
                  </w:txbxContent>
                </v:textbox>
              </v:shape>
            </w:pict>
          </mc:Fallback>
        </mc:AlternateContent>
      </w:r>
    </w:p>
    <w:p w14:paraId="70AAD310" w14:textId="646FF0B1" w:rsidR="00081222" w:rsidRDefault="00081222" w:rsidP="00081222">
      <w:pPr>
        <w:rPr>
          <w:rFonts w:ascii="Arial" w:hAnsi="Arial" w:cs="Arial"/>
        </w:rPr>
      </w:pPr>
    </w:p>
    <w:tbl>
      <w:tblPr>
        <w:tblStyle w:val="TableGrid"/>
        <w:tblpPr w:leftFromText="180" w:rightFromText="180" w:vertAnchor="text" w:tblpY="190"/>
        <w:tblW w:w="0" w:type="auto"/>
        <w:tblLook w:val="04A0" w:firstRow="1" w:lastRow="0" w:firstColumn="1" w:lastColumn="0" w:noHBand="0" w:noVBand="1"/>
      </w:tblPr>
      <w:tblGrid>
        <w:gridCol w:w="3237"/>
        <w:gridCol w:w="2734"/>
        <w:gridCol w:w="3045"/>
      </w:tblGrid>
      <w:tr w:rsidR="00081222" w14:paraId="377CF6D1" w14:textId="77777777" w:rsidTr="00081222">
        <w:trPr>
          <w:trHeight w:val="567"/>
        </w:trPr>
        <w:tc>
          <w:tcPr>
            <w:tcW w:w="3237" w:type="dxa"/>
            <w:shd w:val="clear" w:color="auto" w:fill="006699"/>
            <w:vAlign w:val="center"/>
          </w:tcPr>
          <w:p w14:paraId="1DF67210" w14:textId="31400827" w:rsidR="00081222" w:rsidRPr="00BF57F7" w:rsidRDefault="00081222" w:rsidP="00081222">
            <w:pPr>
              <w:tabs>
                <w:tab w:val="left" w:pos="939"/>
              </w:tabs>
              <w:jc w:val="center"/>
              <w:rPr>
                <w:rFonts w:ascii="Arial" w:hAnsi="Arial" w:cs="Arial"/>
                <w:b/>
                <w:color w:val="FFFFFF" w:themeColor="background1"/>
              </w:rPr>
            </w:pPr>
            <w:proofErr w:type="spellStart"/>
            <w:r>
              <w:rPr>
                <w:rFonts w:ascii="Arial" w:hAnsi="Arial" w:cs="Arial"/>
                <w:b/>
                <w:color w:val="FFFFFF" w:themeColor="background1"/>
              </w:rPr>
              <w:t>Mogden</w:t>
            </w:r>
            <w:proofErr w:type="spellEnd"/>
            <w:r>
              <w:rPr>
                <w:rFonts w:ascii="Arial" w:hAnsi="Arial" w:cs="Arial"/>
                <w:b/>
                <w:color w:val="FFFFFF" w:themeColor="background1"/>
              </w:rPr>
              <w:t xml:space="preserve"> formula element</w:t>
            </w:r>
          </w:p>
        </w:tc>
        <w:tc>
          <w:tcPr>
            <w:tcW w:w="2734" w:type="dxa"/>
            <w:shd w:val="clear" w:color="auto" w:fill="006699"/>
            <w:vAlign w:val="center"/>
          </w:tcPr>
          <w:p w14:paraId="2FEC8360" w14:textId="1D10D754" w:rsidR="00081222"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Element symbol</w:t>
            </w:r>
          </w:p>
        </w:tc>
        <w:tc>
          <w:tcPr>
            <w:tcW w:w="3045" w:type="dxa"/>
            <w:shd w:val="clear" w:color="auto" w:fill="006699"/>
            <w:vAlign w:val="center"/>
          </w:tcPr>
          <w:p w14:paraId="12829AE5" w14:textId="60068C1B" w:rsidR="00081222" w:rsidRPr="00BF57F7"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Average strength</w:t>
            </w:r>
          </w:p>
        </w:tc>
      </w:tr>
      <w:tr w:rsidR="00081222" w14:paraId="65DD4558" w14:textId="77777777" w:rsidTr="00081222">
        <w:trPr>
          <w:trHeight w:val="567"/>
        </w:trPr>
        <w:tc>
          <w:tcPr>
            <w:tcW w:w="3237" w:type="dxa"/>
            <w:vAlign w:val="center"/>
          </w:tcPr>
          <w:p w14:paraId="50158F89" w14:textId="419CA4C2" w:rsidR="00081222" w:rsidRDefault="00081222" w:rsidP="00081222">
            <w:pPr>
              <w:tabs>
                <w:tab w:val="left" w:pos="939"/>
              </w:tabs>
              <w:jc w:val="center"/>
              <w:rPr>
                <w:rFonts w:ascii="Arial" w:hAnsi="Arial" w:cs="Arial"/>
              </w:rPr>
            </w:pPr>
            <w:r>
              <w:rPr>
                <w:rFonts w:ascii="Arial" w:hAnsi="Arial" w:cs="Arial"/>
              </w:rPr>
              <w:t>Chemical Oxygen Demand</w:t>
            </w:r>
          </w:p>
        </w:tc>
        <w:tc>
          <w:tcPr>
            <w:tcW w:w="2734" w:type="dxa"/>
            <w:vAlign w:val="center"/>
          </w:tcPr>
          <w:p w14:paraId="784AF191" w14:textId="5EFD9BC3" w:rsidR="00081222" w:rsidRDefault="00081222" w:rsidP="00081222">
            <w:pPr>
              <w:tabs>
                <w:tab w:val="left" w:pos="939"/>
              </w:tabs>
              <w:jc w:val="center"/>
              <w:rPr>
                <w:rFonts w:ascii="Arial" w:hAnsi="Arial" w:cs="Arial"/>
              </w:rPr>
            </w:pPr>
            <w:r>
              <w:rPr>
                <w:rFonts w:ascii="Arial" w:hAnsi="Arial" w:cs="Arial"/>
              </w:rPr>
              <w:t>-</w:t>
            </w:r>
            <w:proofErr w:type="spellStart"/>
            <w:r>
              <w:rPr>
                <w:rFonts w:ascii="Arial" w:hAnsi="Arial" w:cs="Arial"/>
              </w:rPr>
              <w:t>Os</w:t>
            </w:r>
            <w:proofErr w:type="spellEnd"/>
          </w:p>
        </w:tc>
        <w:tc>
          <w:tcPr>
            <w:tcW w:w="3045" w:type="dxa"/>
            <w:vAlign w:val="center"/>
          </w:tcPr>
          <w:p w14:paraId="66304BEA" w14:textId="25A314BD" w:rsidR="00081222" w:rsidRDefault="00081222" w:rsidP="00081222">
            <w:pPr>
              <w:tabs>
                <w:tab w:val="left" w:pos="939"/>
              </w:tabs>
              <w:jc w:val="center"/>
              <w:rPr>
                <w:rFonts w:ascii="Arial" w:hAnsi="Arial" w:cs="Arial"/>
              </w:rPr>
            </w:pPr>
            <w:r>
              <w:rPr>
                <w:rFonts w:ascii="Arial" w:hAnsi="Arial" w:cs="Arial"/>
              </w:rPr>
              <w:t>445mg/l</w:t>
            </w:r>
          </w:p>
        </w:tc>
      </w:tr>
      <w:tr w:rsidR="00081222" w14:paraId="00728F42" w14:textId="77777777" w:rsidTr="00081222">
        <w:trPr>
          <w:trHeight w:val="567"/>
        </w:trPr>
        <w:tc>
          <w:tcPr>
            <w:tcW w:w="3237" w:type="dxa"/>
            <w:vAlign w:val="center"/>
          </w:tcPr>
          <w:p w14:paraId="74BA2C0A" w14:textId="4F8E05DC" w:rsidR="00081222" w:rsidRDefault="00081222" w:rsidP="00081222">
            <w:pPr>
              <w:tabs>
                <w:tab w:val="left" w:pos="939"/>
              </w:tabs>
              <w:jc w:val="center"/>
              <w:rPr>
                <w:rFonts w:ascii="Arial" w:hAnsi="Arial" w:cs="Arial"/>
              </w:rPr>
            </w:pPr>
            <w:r>
              <w:rPr>
                <w:rFonts w:ascii="Arial" w:hAnsi="Arial" w:cs="Arial"/>
              </w:rPr>
              <w:t>Settleable Solids</w:t>
            </w:r>
          </w:p>
        </w:tc>
        <w:tc>
          <w:tcPr>
            <w:tcW w:w="2734" w:type="dxa"/>
            <w:vAlign w:val="center"/>
          </w:tcPr>
          <w:p w14:paraId="302742C9" w14:textId="2EA8175C" w:rsidR="00081222" w:rsidRDefault="00081222" w:rsidP="00081222">
            <w:pPr>
              <w:tabs>
                <w:tab w:val="left" w:pos="939"/>
              </w:tabs>
              <w:jc w:val="center"/>
              <w:rPr>
                <w:rFonts w:ascii="Arial" w:hAnsi="Arial" w:cs="Arial"/>
              </w:rPr>
            </w:pPr>
            <w:r>
              <w:rPr>
                <w:rFonts w:ascii="Arial" w:hAnsi="Arial" w:cs="Arial"/>
              </w:rPr>
              <w:t>-Ss</w:t>
            </w:r>
          </w:p>
        </w:tc>
        <w:tc>
          <w:tcPr>
            <w:tcW w:w="3045" w:type="dxa"/>
            <w:vAlign w:val="center"/>
          </w:tcPr>
          <w:p w14:paraId="25386B21" w14:textId="2018172B" w:rsidR="00081222" w:rsidRDefault="00081222" w:rsidP="00081222">
            <w:pPr>
              <w:tabs>
                <w:tab w:val="left" w:pos="939"/>
              </w:tabs>
              <w:jc w:val="center"/>
              <w:rPr>
                <w:rFonts w:ascii="Arial" w:hAnsi="Arial" w:cs="Arial"/>
              </w:rPr>
            </w:pPr>
            <w:r>
              <w:rPr>
                <w:rFonts w:ascii="Arial" w:hAnsi="Arial" w:cs="Arial"/>
              </w:rPr>
              <w:t>336mg/l</w:t>
            </w:r>
          </w:p>
        </w:tc>
      </w:tr>
    </w:tbl>
    <w:p w14:paraId="35719516" w14:textId="042763A2" w:rsidR="00081222" w:rsidRDefault="00081222" w:rsidP="00081222">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4800" behindDoc="0" locked="0" layoutInCell="1" allowOverlap="1" wp14:anchorId="4C009BB8" wp14:editId="2D60C59C">
                <wp:simplePos x="0" y="0"/>
                <wp:positionH relativeFrom="column">
                  <wp:posOffset>-847725</wp:posOffset>
                </wp:positionH>
                <wp:positionV relativeFrom="paragraph">
                  <wp:posOffset>1537970</wp:posOffset>
                </wp:positionV>
                <wp:extent cx="7418070" cy="361666"/>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FB3DFC7" w14:textId="43F09DB9"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B.2.2 Standard strength discharges (mg/l)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09BB8" id="Text Box 28" o:spid="_x0000_s1054" type="#_x0000_t202" style="position:absolute;margin-left:-66.75pt;margin-top:121.1pt;width:584.1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" fillcolor="#069" stroked="f" strokeweight=".5pt">
                <v:textbox>
                  <w:txbxContent>
                    <w:p w14:paraId="6FB3DFC7" w14:textId="43F09DB9"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B.2.2 Standard strength discharges (mg/l)</w:t>
                      </w:r>
                    </w:p>
                  </w:txbxContent>
                </v:textbox>
              </v:shape>
            </w:pict>
          </mc:Fallback>
        </mc:AlternateContent>
      </w:r>
    </w:p>
    <w:p w14:paraId="506C99EC" w14:textId="78754806" w:rsidR="00081222" w:rsidRDefault="00081222" w:rsidP="00081222">
      <w:pPr>
        <w:ind w:firstLine="720"/>
        <w:rPr>
          <w:rFonts w:ascii="Arial" w:hAnsi="Arial" w:cs="Arial"/>
        </w:rPr>
      </w:pPr>
    </w:p>
    <w:p w14:paraId="7125DCF2" w14:textId="549A2613" w:rsidR="00081222" w:rsidRDefault="00081222" w:rsidP="00081222">
      <w:pPr>
        <w:rPr>
          <w:rFonts w:ascii="Arial" w:hAnsi="Arial" w:cs="Arial"/>
        </w:rPr>
      </w:pPr>
    </w:p>
    <w:tbl>
      <w:tblPr>
        <w:tblStyle w:val="TableGrid"/>
        <w:tblpPr w:leftFromText="180" w:rightFromText="180" w:vertAnchor="text" w:tblpX="-998" w:tblpY="190"/>
        <w:tblW w:w="11052" w:type="dxa"/>
        <w:tblLook w:val="04A0" w:firstRow="1" w:lastRow="0" w:firstColumn="1" w:lastColumn="0" w:noHBand="0" w:noVBand="1"/>
      </w:tblPr>
      <w:tblGrid>
        <w:gridCol w:w="5665"/>
        <w:gridCol w:w="2694"/>
        <w:gridCol w:w="2693"/>
      </w:tblGrid>
      <w:tr w:rsidR="00081222" w14:paraId="5EEE5AAF" w14:textId="77777777" w:rsidTr="00081222">
        <w:trPr>
          <w:trHeight w:val="567"/>
        </w:trPr>
        <w:tc>
          <w:tcPr>
            <w:tcW w:w="5665" w:type="dxa"/>
            <w:shd w:val="clear" w:color="auto" w:fill="006699"/>
            <w:vAlign w:val="center"/>
          </w:tcPr>
          <w:p w14:paraId="5BF3ECF3" w14:textId="4AFF51EC" w:rsidR="00081222" w:rsidRPr="00BF57F7" w:rsidRDefault="00081222" w:rsidP="00470D1E">
            <w:pPr>
              <w:tabs>
                <w:tab w:val="left" w:pos="939"/>
              </w:tabs>
              <w:rPr>
                <w:rFonts w:ascii="Arial" w:hAnsi="Arial" w:cs="Arial"/>
                <w:b/>
                <w:color w:val="FFFFFF" w:themeColor="background1"/>
              </w:rPr>
            </w:pPr>
            <w:r>
              <w:rPr>
                <w:rFonts w:ascii="Arial" w:hAnsi="Arial" w:cs="Arial"/>
                <w:b/>
                <w:color w:val="FFFFFF" w:themeColor="background1"/>
              </w:rPr>
              <w:t>Standard strength premises</w:t>
            </w:r>
          </w:p>
        </w:tc>
        <w:tc>
          <w:tcPr>
            <w:tcW w:w="2694" w:type="dxa"/>
            <w:shd w:val="clear" w:color="auto" w:fill="006699"/>
            <w:vAlign w:val="center"/>
          </w:tcPr>
          <w:p w14:paraId="37D60AE8" w14:textId="59E3FE50" w:rsidR="00081222"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Value for Ot</w:t>
            </w:r>
          </w:p>
        </w:tc>
        <w:tc>
          <w:tcPr>
            <w:tcW w:w="2693" w:type="dxa"/>
            <w:shd w:val="clear" w:color="auto" w:fill="006699"/>
            <w:vAlign w:val="center"/>
          </w:tcPr>
          <w:p w14:paraId="296D3DF3" w14:textId="3A27904D" w:rsidR="00081222" w:rsidRPr="00BF57F7"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Value for St</w:t>
            </w:r>
          </w:p>
        </w:tc>
      </w:tr>
      <w:tr w:rsidR="00081222" w14:paraId="3316615D" w14:textId="77777777" w:rsidTr="00081222">
        <w:trPr>
          <w:trHeight w:val="567"/>
        </w:trPr>
        <w:tc>
          <w:tcPr>
            <w:tcW w:w="5665" w:type="dxa"/>
            <w:vAlign w:val="center"/>
          </w:tcPr>
          <w:p w14:paraId="7919C962" w14:textId="40C28001" w:rsidR="00081222" w:rsidRDefault="00081222" w:rsidP="00470D1E">
            <w:pPr>
              <w:tabs>
                <w:tab w:val="left" w:pos="939"/>
              </w:tabs>
              <w:rPr>
                <w:rFonts w:ascii="Arial" w:hAnsi="Arial" w:cs="Arial"/>
              </w:rPr>
            </w:pPr>
            <w:r>
              <w:rPr>
                <w:rFonts w:ascii="Arial" w:hAnsi="Arial" w:cs="Arial"/>
              </w:rPr>
              <w:t>Launderettes</w:t>
            </w:r>
          </w:p>
        </w:tc>
        <w:tc>
          <w:tcPr>
            <w:tcW w:w="2694" w:type="dxa"/>
            <w:vAlign w:val="center"/>
          </w:tcPr>
          <w:p w14:paraId="6D4F9E53" w14:textId="7AAF2F2B" w:rsidR="00081222" w:rsidRDefault="00081222" w:rsidP="00081222">
            <w:pPr>
              <w:tabs>
                <w:tab w:val="left" w:pos="939"/>
              </w:tabs>
              <w:jc w:val="center"/>
              <w:rPr>
                <w:rFonts w:ascii="Arial" w:hAnsi="Arial" w:cs="Arial"/>
              </w:rPr>
            </w:pPr>
            <w:r>
              <w:rPr>
                <w:rFonts w:ascii="Arial" w:hAnsi="Arial" w:cs="Arial"/>
              </w:rPr>
              <w:t>576</w:t>
            </w:r>
          </w:p>
        </w:tc>
        <w:tc>
          <w:tcPr>
            <w:tcW w:w="2693" w:type="dxa"/>
            <w:vAlign w:val="center"/>
          </w:tcPr>
          <w:p w14:paraId="2279BB62" w14:textId="148F33F0" w:rsidR="00081222" w:rsidRDefault="00081222" w:rsidP="00081222">
            <w:pPr>
              <w:tabs>
                <w:tab w:val="left" w:pos="939"/>
              </w:tabs>
              <w:jc w:val="center"/>
              <w:rPr>
                <w:rFonts w:ascii="Arial" w:hAnsi="Arial" w:cs="Arial"/>
              </w:rPr>
            </w:pPr>
            <w:r>
              <w:rPr>
                <w:rFonts w:ascii="Arial" w:hAnsi="Arial" w:cs="Arial"/>
              </w:rPr>
              <w:t>58</w:t>
            </w:r>
          </w:p>
        </w:tc>
      </w:tr>
      <w:tr w:rsidR="00081222" w14:paraId="4541DC3F" w14:textId="77777777" w:rsidTr="00081222">
        <w:trPr>
          <w:trHeight w:val="567"/>
        </w:trPr>
        <w:tc>
          <w:tcPr>
            <w:tcW w:w="5665" w:type="dxa"/>
            <w:vAlign w:val="center"/>
          </w:tcPr>
          <w:p w14:paraId="7CA2008D" w14:textId="58B1C01B" w:rsidR="00081222" w:rsidRDefault="00081222" w:rsidP="00470D1E">
            <w:pPr>
              <w:tabs>
                <w:tab w:val="left" w:pos="939"/>
              </w:tabs>
              <w:rPr>
                <w:rFonts w:ascii="Arial" w:hAnsi="Arial" w:cs="Arial"/>
              </w:rPr>
            </w:pPr>
            <w:r>
              <w:rPr>
                <w:rFonts w:ascii="Arial" w:hAnsi="Arial" w:cs="Arial"/>
              </w:rPr>
              <w:t>Car washes</w:t>
            </w:r>
          </w:p>
        </w:tc>
        <w:tc>
          <w:tcPr>
            <w:tcW w:w="2694" w:type="dxa"/>
            <w:vAlign w:val="center"/>
          </w:tcPr>
          <w:p w14:paraId="6DFC2445" w14:textId="0D1C3198" w:rsidR="00081222" w:rsidRDefault="00081222" w:rsidP="00081222">
            <w:pPr>
              <w:tabs>
                <w:tab w:val="left" w:pos="939"/>
              </w:tabs>
              <w:jc w:val="center"/>
              <w:rPr>
                <w:rFonts w:ascii="Arial" w:hAnsi="Arial" w:cs="Arial"/>
              </w:rPr>
            </w:pPr>
            <w:r>
              <w:rPr>
                <w:rFonts w:ascii="Arial" w:hAnsi="Arial" w:cs="Arial"/>
              </w:rPr>
              <w:t>88</w:t>
            </w:r>
          </w:p>
        </w:tc>
        <w:tc>
          <w:tcPr>
            <w:tcW w:w="2693" w:type="dxa"/>
            <w:vAlign w:val="center"/>
          </w:tcPr>
          <w:p w14:paraId="7D085F6D" w14:textId="2330E9E0" w:rsidR="00081222" w:rsidRDefault="00081222" w:rsidP="00081222">
            <w:pPr>
              <w:tabs>
                <w:tab w:val="left" w:pos="939"/>
              </w:tabs>
              <w:jc w:val="center"/>
              <w:rPr>
                <w:rFonts w:ascii="Arial" w:hAnsi="Arial" w:cs="Arial"/>
              </w:rPr>
            </w:pPr>
            <w:r>
              <w:rPr>
                <w:rFonts w:ascii="Arial" w:hAnsi="Arial" w:cs="Arial"/>
              </w:rPr>
              <w:t>62</w:t>
            </w:r>
          </w:p>
        </w:tc>
      </w:tr>
      <w:tr w:rsidR="00081222" w14:paraId="2DE38BD2" w14:textId="77777777" w:rsidTr="00081222">
        <w:trPr>
          <w:trHeight w:val="567"/>
        </w:trPr>
        <w:tc>
          <w:tcPr>
            <w:tcW w:w="5665" w:type="dxa"/>
            <w:vAlign w:val="center"/>
          </w:tcPr>
          <w:p w14:paraId="5AA66F40" w14:textId="13A47FCE" w:rsidR="00081222" w:rsidRDefault="00081222" w:rsidP="00470D1E">
            <w:pPr>
              <w:tabs>
                <w:tab w:val="left" w:pos="939"/>
              </w:tabs>
              <w:rPr>
                <w:rFonts w:ascii="Arial" w:hAnsi="Arial" w:cs="Arial"/>
              </w:rPr>
            </w:pPr>
            <w:r>
              <w:rPr>
                <w:rFonts w:ascii="Arial" w:hAnsi="Arial" w:cs="Arial"/>
              </w:rPr>
              <w:t>Dry cleaners</w:t>
            </w:r>
          </w:p>
        </w:tc>
        <w:tc>
          <w:tcPr>
            <w:tcW w:w="2694" w:type="dxa"/>
            <w:vAlign w:val="center"/>
          </w:tcPr>
          <w:p w14:paraId="3E06DB78" w14:textId="663120ED" w:rsidR="00081222" w:rsidRDefault="00081222" w:rsidP="00081222">
            <w:pPr>
              <w:tabs>
                <w:tab w:val="left" w:pos="939"/>
              </w:tabs>
              <w:jc w:val="center"/>
              <w:rPr>
                <w:rFonts w:ascii="Arial" w:hAnsi="Arial" w:cs="Arial"/>
              </w:rPr>
            </w:pPr>
            <w:r>
              <w:rPr>
                <w:rFonts w:ascii="Arial" w:hAnsi="Arial" w:cs="Arial"/>
              </w:rPr>
              <w:t>30</w:t>
            </w:r>
          </w:p>
        </w:tc>
        <w:tc>
          <w:tcPr>
            <w:tcW w:w="2693" w:type="dxa"/>
            <w:vAlign w:val="center"/>
          </w:tcPr>
          <w:p w14:paraId="281E4FAE" w14:textId="2688F5FE" w:rsidR="00081222" w:rsidRDefault="00081222" w:rsidP="00081222">
            <w:pPr>
              <w:tabs>
                <w:tab w:val="left" w:pos="939"/>
              </w:tabs>
              <w:jc w:val="center"/>
              <w:rPr>
                <w:rFonts w:ascii="Arial" w:hAnsi="Arial" w:cs="Arial"/>
              </w:rPr>
            </w:pPr>
            <w:r>
              <w:rPr>
                <w:rFonts w:ascii="Arial" w:hAnsi="Arial" w:cs="Arial"/>
              </w:rPr>
              <w:t>7</w:t>
            </w:r>
          </w:p>
        </w:tc>
      </w:tr>
      <w:tr w:rsidR="00081222" w14:paraId="6F0C0EAE" w14:textId="77777777" w:rsidTr="00081222">
        <w:trPr>
          <w:trHeight w:val="567"/>
        </w:trPr>
        <w:tc>
          <w:tcPr>
            <w:tcW w:w="5665" w:type="dxa"/>
            <w:vAlign w:val="center"/>
          </w:tcPr>
          <w:p w14:paraId="0D77C751" w14:textId="322991F8" w:rsidR="00081222" w:rsidRDefault="00081222" w:rsidP="00470D1E">
            <w:pPr>
              <w:tabs>
                <w:tab w:val="left" w:pos="939"/>
              </w:tabs>
              <w:rPr>
                <w:rFonts w:ascii="Arial" w:hAnsi="Arial" w:cs="Arial"/>
              </w:rPr>
            </w:pPr>
            <w:r>
              <w:rPr>
                <w:rFonts w:ascii="Arial" w:hAnsi="Arial" w:cs="Arial"/>
              </w:rPr>
              <w:t>Commercial swimming pools</w:t>
            </w:r>
          </w:p>
        </w:tc>
        <w:tc>
          <w:tcPr>
            <w:tcW w:w="2694" w:type="dxa"/>
            <w:vAlign w:val="center"/>
          </w:tcPr>
          <w:p w14:paraId="4726219A" w14:textId="41D52401" w:rsidR="00081222" w:rsidRDefault="00081222" w:rsidP="00081222">
            <w:pPr>
              <w:tabs>
                <w:tab w:val="left" w:pos="939"/>
              </w:tabs>
              <w:jc w:val="center"/>
              <w:rPr>
                <w:rFonts w:ascii="Arial" w:hAnsi="Arial" w:cs="Arial"/>
              </w:rPr>
            </w:pPr>
            <w:r>
              <w:rPr>
                <w:rFonts w:ascii="Arial" w:hAnsi="Arial" w:cs="Arial"/>
              </w:rPr>
              <w:t>120</w:t>
            </w:r>
          </w:p>
        </w:tc>
        <w:tc>
          <w:tcPr>
            <w:tcW w:w="2693" w:type="dxa"/>
            <w:vAlign w:val="center"/>
          </w:tcPr>
          <w:p w14:paraId="1CE3ED1C" w14:textId="1A84DDC9" w:rsidR="00081222" w:rsidRDefault="00081222" w:rsidP="00081222">
            <w:pPr>
              <w:tabs>
                <w:tab w:val="left" w:pos="939"/>
              </w:tabs>
              <w:jc w:val="center"/>
              <w:rPr>
                <w:rFonts w:ascii="Arial" w:hAnsi="Arial" w:cs="Arial"/>
              </w:rPr>
            </w:pPr>
            <w:r>
              <w:rPr>
                <w:rFonts w:ascii="Arial" w:hAnsi="Arial" w:cs="Arial"/>
              </w:rPr>
              <w:t>108</w:t>
            </w:r>
          </w:p>
        </w:tc>
      </w:tr>
      <w:tr w:rsidR="00081222" w14:paraId="519BD891" w14:textId="77777777" w:rsidTr="00081222">
        <w:trPr>
          <w:trHeight w:val="567"/>
        </w:trPr>
        <w:tc>
          <w:tcPr>
            <w:tcW w:w="5665" w:type="dxa"/>
            <w:vAlign w:val="center"/>
          </w:tcPr>
          <w:p w14:paraId="5EC8072F" w14:textId="7F66DF52" w:rsidR="00081222" w:rsidRDefault="00081222" w:rsidP="00470D1E">
            <w:pPr>
              <w:tabs>
                <w:tab w:val="left" w:pos="939"/>
              </w:tabs>
              <w:rPr>
                <w:rFonts w:ascii="Arial" w:hAnsi="Arial" w:cs="Arial"/>
              </w:rPr>
            </w:pPr>
            <w:r>
              <w:rPr>
                <w:rFonts w:ascii="Arial" w:hAnsi="Arial" w:cs="Arial"/>
              </w:rPr>
              <w:t>Small / micro-brewery</w:t>
            </w:r>
          </w:p>
        </w:tc>
        <w:tc>
          <w:tcPr>
            <w:tcW w:w="2694" w:type="dxa"/>
            <w:vAlign w:val="center"/>
          </w:tcPr>
          <w:p w14:paraId="3AC88AAA" w14:textId="4252F17E" w:rsidR="00081222" w:rsidRDefault="00081222" w:rsidP="00081222">
            <w:pPr>
              <w:tabs>
                <w:tab w:val="left" w:pos="939"/>
              </w:tabs>
              <w:jc w:val="center"/>
              <w:rPr>
                <w:rFonts w:ascii="Arial" w:hAnsi="Arial" w:cs="Arial"/>
              </w:rPr>
            </w:pPr>
            <w:r>
              <w:rPr>
                <w:rFonts w:ascii="Arial" w:hAnsi="Arial" w:cs="Arial"/>
              </w:rPr>
              <w:t>1,730</w:t>
            </w:r>
          </w:p>
        </w:tc>
        <w:tc>
          <w:tcPr>
            <w:tcW w:w="2693" w:type="dxa"/>
            <w:vAlign w:val="center"/>
          </w:tcPr>
          <w:p w14:paraId="3A7C6783" w14:textId="21014C90" w:rsidR="00081222" w:rsidRDefault="00081222" w:rsidP="00081222">
            <w:pPr>
              <w:tabs>
                <w:tab w:val="left" w:pos="939"/>
              </w:tabs>
              <w:jc w:val="center"/>
              <w:rPr>
                <w:rFonts w:ascii="Arial" w:hAnsi="Arial" w:cs="Arial"/>
              </w:rPr>
            </w:pPr>
            <w:r>
              <w:rPr>
                <w:rFonts w:ascii="Arial" w:hAnsi="Arial" w:cs="Arial"/>
              </w:rPr>
              <w:t>88</w:t>
            </w:r>
          </w:p>
        </w:tc>
      </w:tr>
      <w:tr w:rsidR="00081222" w14:paraId="04D60D3E" w14:textId="77777777" w:rsidTr="00081222">
        <w:trPr>
          <w:trHeight w:val="567"/>
        </w:trPr>
        <w:tc>
          <w:tcPr>
            <w:tcW w:w="5665" w:type="dxa"/>
            <w:vAlign w:val="center"/>
          </w:tcPr>
          <w:p w14:paraId="62D0138E" w14:textId="6691B3DD" w:rsidR="00081222" w:rsidRDefault="00081222" w:rsidP="00470D1E">
            <w:pPr>
              <w:tabs>
                <w:tab w:val="left" w:pos="939"/>
              </w:tabs>
              <w:rPr>
                <w:rFonts w:ascii="Arial" w:hAnsi="Arial" w:cs="Arial"/>
              </w:rPr>
            </w:pPr>
            <w:r>
              <w:rPr>
                <w:rFonts w:ascii="Arial" w:hAnsi="Arial" w:cs="Arial"/>
              </w:rPr>
              <w:t>Concrete contaminated sites (batching plants, wheel washes on construction sites)</w:t>
            </w:r>
          </w:p>
        </w:tc>
        <w:tc>
          <w:tcPr>
            <w:tcW w:w="2694" w:type="dxa"/>
            <w:vAlign w:val="center"/>
          </w:tcPr>
          <w:p w14:paraId="638B2977" w14:textId="765B4CDF" w:rsidR="00081222" w:rsidRDefault="00081222" w:rsidP="00081222">
            <w:pPr>
              <w:tabs>
                <w:tab w:val="left" w:pos="939"/>
              </w:tabs>
              <w:jc w:val="center"/>
              <w:rPr>
                <w:rFonts w:ascii="Arial" w:hAnsi="Arial" w:cs="Arial"/>
              </w:rPr>
            </w:pPr>
            <w:r>
              <w:rPr>
                <w:rFonts w:ascii="Arial" w:hAnsi="Arial" w:cs="Arial"/>
              </w:rPr>
              <w:t>116</w:t>
            </w:r>
          </w:p>
        </w:tc>
        <w:tc>
          <w:tcPr>
            <w:tcW w:w="2693" w:type="dxa"/>
            <w:vAlign w:val="center"/>
          </w:tcPr>
          <w:p w14:paraId="6CC2B63C" w14:textId="20E4C713" w:rsidR="00081222" w:rsidRDefault="00081222" w:rsidP="00081222">
            <w:pPr>
              <w:tabs>
                <w:tab w:val="left" w:pos="939"/>
              </w:tabs>
              <w:jc w:val="center"/>
              <w:rPr>
                <w:rFonts w:ascii="Arial" w:hAnsi="Arial" w:cs="Arial"/>
              </w:rPr>
            </w:pPr>
            <w:r>
              <w:rPr>
                <w:rFonts w:ascii="Arial" w:hAnsi="Arial" w:cs="Arial"/>
              </w:rPr>
              <w:t>58</w:t>
            </w:r>
          </w:p>
        </w:tc>
      </w:tr>
      <w:tr w:rsidR="00081222" w14:paraId="25380F6A" w14:textId="77777777" w:rsidTr="00081222">
        <w:trPr>
          <w:trHeight w:val="567"/>
        </w:trPr>
        <w:tc>
          <w:tcPr>
            <w:tcW w:w="5665" w:type="dxa"/>
            <w:vAlign w:val="center"/>
          </w:tcPr>
          <w:p w14:paraId="22C6B74D" w14:textId="312331FF" w:rsidR="00081222" w:rsidRDefault="00081222" w:rsidP="00470D1E">
            <w:pPr>
              <w:tabs>
                <w:tab w:val="left" w:pos="939"/>
              </w:tabs>
              <w:rPr>
                <w:rFonts w:ascii="Arial" w:hAnsi="Arial" w:cs="Arial"/>
              </w:rPr>
            </w:pPr>
            <w:r>
              <w:rPr>
                <w:rFonts w:ascii="Arial" w:hAnsi="Arial" w:cs="Arial"/>
              </w:rPr>
              <w:t>Laboratory glassware washing</w:t>
            </w:r>
          </w:p>
        </w:tc>
        <w:tc>
          <w:tcPr>
            <w:tcW w:w="2694" w:type="dxa"/>
            <w:vAlign w:val="center"/>
          </w:tcPr>
          <w:p w14:paraId="3C72CC28" w14:textId="43455BE3" w:rsidR="00081222" w:rsidRDefault="00081222" w:rsidP="00081222">
            <w:pPr>
              <w:tabs>
                <w:tab w:val="left" w:pos="939"/>
              </w:tabs>
              <w:jc w:val="center"/>
              <w:rPr>
                <w:rFonts w:ascii="Arial" w:hAnsi="Arial" w:cs="Arial"/>
              </w:rPr>
            </w:pPr>
            <w:r>
              <w:rPr>
                <w:rFonts w:ascii="Arial" w:hAnsi="Arial" w:cs="Arial"/>
              </w:rPr>
              <w:t>308</w:t>
            </w:r>
          </w:p>
        </w:tc>
        <w:tc>
          <w:tcPr>
            <w:tcW w:w="2693" w:type="dxa"/>
            <w:vAlign w:val="center"/>
          </w:tcPr>
          <w:p w14:paraId="1B0EE370" w14:textId="7328697E" w:rsidR="00081222" w:rsidRDefault="00081222" w:rsidP="00081222">
            <w:pPr>
              <w:tabs>
                <w:tab w:val="left" w:pos="939"/>
              </w:tabs>
              <w:jc w:val="center"/>
              <w:rPr>
                <w:rFonts w:ascii="Arial" w:hAnsi="Arial" w:cs="Arial"/>
              </w:rPr>
            </w:pPr>
            <w:r>
              <w:rPr>
                <w:rFonts w:ascii="Arial" w:hAnsi="Arial" w:cs="Arial"/>
              </w:rPr>
              <w:t>34</w:t>
            </w:r>
          </w:p>
        </w:tc>
      </w:tr>
      <w:tr w:rsidR="00081222" w14:paraId="32FAA3D8" w14:textId="77777777" w:rsidTr="00081222">
        <w:trPr>
          <w:trHeight w:val="567"/>
        </w:trPr>
        <w:tc>
          <w:tcPr>
            <w:tcW w:w="5665" w:type="dxa"/>
            <w:vAlign w:val="center"/>
          </w:tcPr>
          <w:p w14:paraId="72B4132C" w14:textId="35F60361" w:rsidR="00081222" w:rsidRDefault="00081222" w:rsidP="00470D1E">
            <w:pPr>
              <w:tabs>
                <w:tab w:val="left" w:pos="939"/>
              </w:tabs>
              <w:rPr>
                <w:rFonts w:ascii="Arial" w:hAnsi="Arial" w:cs="Arial"/>
              </w:rPr>
            </w:pPr>
            <w:r>
              <w:rPr>
                <w:rFonts w:ascii="Arial" w:hAnsi="Arial" w:cs="Arial"/>
              </w:rPr>
              <w:t>Bus wash</w:t>
            </w:r>
          </w:p>
        </w:tc>
        <w:tc>
          <w:tcPr>
            <w:tcW w:w="2694" w:type="dxa"/>
            <w:vAlign w:val="center"/>
          </w:tcPr>
          <w:p w14:paraId="01506BA2" w14:textId="5A2D6924" w:rsidR="00081222" w:rsidRDefault="00081222" w:rsidP="00081222">
            <w:pPr>
              <w:tabs>
                <w:tab w:val="left" w:pos="939"/>
              </w:tabs>
              <w:jc w:val="center"/>
              <w:rPr>
                <w:rFonts w:ascii="Arial" w:hAnsi="Arial" w:cs="Arial"/>
              </w:rPr>
            </w:pPr>
            <w:r>
              <w:rPr>
                <w:rFonts w:ascii="Arial" w:hAnsi="Arial" w:cs="Arial"/>
              </w:rPr>
              <w:t>621</w:t>
            </w:r>
          </w:p>
        </w:tc>
        <w:tc>
          <w:tcPr>
            <w:tcW w:w="2693" w:type="dxa"/>
            <w:vAlign w:val="center"/>
          </w:tcPr>
          <w:p w14:paraId="053DE804" w14:textId="468F4C09" w:rsidR="00081222" w:rsidRDefault="00081222" w:rsidP="00081222">
            <w:pPr>
              <w:tabs>
                <w:tab w:val="left" w:pos="939"/>
              </w:tabs>
              <w:jc w:val="center"/>
              <w:rPr>
                <w:rFonts w:ascii="Arial" w:hAnsi="Arial" w:cs="Arial"/>
              </w:rPr>
            </w:pPr>
            <w:r>
              <w:rPr>
                <w:rFonts w:ascii="Arial" w:hAnsi="Arial" w:cs="Arial"/>
              </w:rPr>
              <w:t>92</w:t>
            </w:r>
          </w:p>
        </w:tc>
      </w:tr>
      <w:tr w:rsidR="00081222" w14:paraId="6EFF9618" w14:textId="77777777" w:rsidTr="00081222">
        <w:trPr>
          <w:trHeight w:val="567"/>
        </w:trPr>
        <w:tc>
          <w:tcPr>
            <w:tcW w:w="5665" w:type="dxa"/>
            <w:vAlign w:val="center"/>
          </w:tcPr>
          <w:p w14:paraId="59F9BFC1" w14:textId="19F54A2A" w:rsidR="00081222" w:rsidRDefault="00081222" w:rsidP="00470D1E">
            <w:pPr>
              <w:tabs>
                <w:tab w:val="left" w:pos="939"/>
              </w:tabs>
              <w:rPr>
                <w:rFonts w:ascii="Arial" w:hAnsi="Arial" w:cs="Arial"/>
              </w:rPr>
            </w:pPr>
            <w:r>
              <w:rPr>
                <w:rFonts w:ascii="Arial" w:hAnsi="Arial" w:cs="Arial"/>
              </w:rPr>
              <w:t>Train wash</w:t>
            </w:r>
          </w:p>
        </w:tc>
        <w:tc>
          <w:tcPr>
            <w:tcW w:w="2694" w:type="dxa"/>
            <w:vAlign w:val="center"/>
          </w:tcPr>
          <w:p w14:paraId="5D3E316B" w14:textId="423EE55B" w:rsidR="00081222" w:rsidRDefault="00081222" w:rsidP="00081222">
            <w:pPr>
              <w:tabs>
                <w:tab w:val="left" w:pos="939"/>
              </w:tabs>
              <w:jc w:val="center"/>
              <w:rPr>
                <w:rFonts w:ascii="Arial" w:hAnsi="Arial" w:cs="Arial"/>
              </w:rPr>
            </w:pPr>
            <w:r>
              <w:rPr>
                <w:rFonts w:ascii="Arial" w:hAnsi="Arial" w:cs="Arial"/>
              </w:rPr>
              <w:t>594</w:t>
            </w:r>
          </w:p>
        </w:tc>
        <w:tc>
          <w:tcPr>
            <w:tcW w:w="2693" w:type="dxa"/>
            <w:vAlign w:val="center"/>
          </w:tcPr>
          <w:p w14:paraId="35FABBB3" w14:textId="706FF695" w:rsidR="00081222" w:rsidRDefault="00081222" w:rsidP="00081222">
            <w:pPr>
              <w:tabs>
                <w:tab w:val="left" w:pos="939"/>
              </w:tabs>
              <w:jc w:val="center"/>
              <w:rPr>
                <w:rFonts w:ascii="Arial" w:hAnsi="Arial" w:cs="Arial"/>
              </w:rPr>
            </w:pPr>
            <w:r>
              <w:rPr>
                <w:rFonts w:ascii="Arial" w:hAnsi="Arial" w:cs="Arial"/>
              </w:rPr>
              <w:t>71</w:t>
            </w:r>
          </w:p>
        </w:tc>
      </w:tr>
      <w:tr w:rsidR="00081222" w14:paraId="415E836B" w14:textId="77777777" w:rsidTr="00081222">
        <w:trPr>
          <w:trHeight w:val="567"/>
        </w:trPr>
        <w:tc>
          <w:tcPr>
            <w:tcW w:w="5665" w:type="dxa"/>
            <w:vAlign w:val="center"/>
          </w:tcPr>
          <w:p w14:paraId="5E2E0F47" w14:textId="611A1F0E" w:rsidR="00081222" w:rsidRDefault="00081222" w:rsidP="00470D1E">
            <w:pPr>
              <w:tabs>
                <w:tab w:val="left" w:pos="939"/>
              </w:tabs>
              <w:rPr>
                <w:rFonts w:ascii="Arial" w:hAnsi="Arial" w:cs="Arial"/>
              </w:rPr>
            </w:pPr>
            <w:r>
              <w:rPr>
                <w:rFonts w:ascii="Arial" w:hAnsi="Arial" w:cs="Arial"/>
              </w:rPr>
              <w:t>Contaminated surface water at waste transfer sites</w:t>
            </w:r>
          </w:p>
        </w:tc>
        <w:tc>
          <w:tcPr>
            <w:tcW w:w="2694" w:type="dxa"/>
            <w:vAlign w:val="center"/>
          </w:tcPr>
          <w:p w14:paraId="280CFAAD" w14:textId="4B15E468" w:rsidR="00081222" w:rsidRDefault="00081222" w:rsidP="00081222">
            <w:pPr>
              <w:tabs>
                <w:tab w:val="left" w:pos="939"/>
              </w:tabs>
              <w:jc w:val="center"/>
              <w:rPr>
                <w:rFonts w:ascii="Arial" w:hAnsi="Arial" w:cs="Arial"/>
              </w:rPr>
            </w:pPr>
            <w:r>
              <w:rPr>
                <w:rFonts w:ascii="Arial" w:hAnsi="Arial" w:cs="Arial"/>
              </w:rPr>
              <w:t>638</w:t>
            </w:r>
          </w:p>
        </w:tc>
        <w:tc>
          <w:tcPr>
            <w:tcW w:w="2693" w:type="dxa"/>
            <w:vAlign w:val="center"/>
          </w:tcPr>
          <w:p w14:paraId="14F97732" w14:textId="2E9FDE8F" w:rsidR="00081222" w:rsidRDefault="00081222" w:rsidP="00081222">
            <w:pPr>
              <w:tabs>
                <w:tab w:val="left" w:pos="939"/>
              </w:tabs>
              <w:jc w:val="center"/>
              <w:rPr>
                <w:rFonts w:ascii="Arial" w:hAnsi="Arial" w:cs="Arial"/>
              </w:rPr>
            </w:pPr>
            <w:r>
              <w:rPr>
                <w:rFonts w:ascii="Arial" w:hAnsi="Arial" w:cs="Arial"/>
              </w:rPr>
              <w:t>81</w:t>
            </w:r>
          </w:p>
        </w:tc>
      </w:tr>
      <w:tr w:rsidR="00081222" w14:paraId="21A0BCC4" w14:textId="77777777" w:rsidTr="00081222">
        <w:trPr>
          <w:trHeight w:val="567"/>
        </w:trPr>
        <w:tc>
          <w:tcPr>
            <w:tcW w:w="5665" w:type="dxa"/>
            <w:vAlign w:val="center"/>
          </w:tcPr>
          <w:p w14:paraId="61E479EF" w14:textId="589CDFF8" w:rsidR="00081222" w:rsidRDefault="00081222" w:rsidP="00470D1E">
            <w:pPr>
              <w:tabs>
                <w:tab w:val="left" w:pos="939"/>
              </w:tabs>
              <w:rPr>
                <w:rFonts w:ascii="Arial" w:hAnsi="Arial" w:cs="Arial"/>
              </w:rPr>
            </w:pPr>
            <w:r>
              <w:rPr>
                <w:rFonts w:ascii="Arial" w:hAnsi="Arial" w:cs="Arial"/>
              </w:rPr>
              <w:t>Gasholder runoff</w:t>
            </w:r>
          </w:p>
        </w:tc>
        <w:tc>
          <w:tcPr>
            <w:tcW w:w="2694" w:type="dxa"/>
            <w:vAlign w:val="center"/>
          </w:tcPr>
          <w:p w14:paraId="1526AC67" w14:textId="69065EF2" w:rsidR="00081222" w:rsidRDefault="00081222" w:rsidP="00081222">
            <w:pPr>
              <w:tabs>
                <w:tab w:val="left" w:pos="939"/>
              </w:tabs>
              <w:jc w:val="center"/>
              <w:rPr>
                <w:rFonts w:ascii="Arial" w:hAnsi="Arial" w:cs="Arial"/>
              </w:rPr>
            </w:pPr>
            <w:r>
              <w:rPr>
                <w:rFonts w:ascii="Arial" w:hAnsi="Arial" w:cs="Arial"/>
              </w:rPr>
              <w:t>20</w:t>
            </w:r>
          </w:p>
        </w:tc>
        <w:tc>
          <w:tcPr>
            <w:tcW w:w="2693" w:type="dxa"/>
            <w:vAlign w:val="center"/>
          </w:tcPr>
          <w:p w14:paraId="07B0B873" w14:textId="4D0DC42C" w:rsidR="00081222" w:rsidRDefault="00081222" w:rsidP="00081222">
            <w:pPr>
              <w:tabs>
                <w:tab w:val="left" w:pos="939"/>
              </w:tabs>
              <w:jc w:val="center"/>
              <w:rPr>
                <w:rFonts w:ascii="Arial" w:hAnsi="Arial" w:cs="Arial"/>
              </w:rPr>
            </w:pPr>
            <w:r>
              <w:rPr>
                <w:rFonts w:ascii="Arial" w:hAnsi="Arial" w:cs="Arial"/>
              </w:rPr>
              <w:t>11</w:t>
            </w:r>
          </w:p>
        </w:tc>
      </w:tr>
      <w:tr w:rsidR="00D3362A" w14:paraId="3594774C" w14:textId="77777777" w:rsidTr="00081222">
        <w:trPr>
          <w:trHeight w:val="567"/>
        </w:trPr>
        <w:tc>
          <w:tcPr>
            <w:tcW w:w="5665" w:type="dxa"/>
            <w:vAlign w:val="center"/>
          </w:tcPr>
          <w:p w14:paraId="5FA200B5" w14:textId="30C8E301" w:rsidR="00D3362A" w:rsidRDefault="00D3362A" w:rsidP="00470D1E">
            <w:pPr>
              <w:tabs>
                <w:tab w:val="left" w:pos="939"/>
              </w:tabs>
              <w:rPr>
                <w:rFonts w:ascii="Arial" w:hAnsi="Arial" w:cs="Arial"/>
              </w:rPr>
            </w:pPr>
            <w:r>
              <w:rPr>
                <w:rFonts w:ascii="Arial" w:hAnsi="Arial" w:cs="Arial"/>
              </w:rPr>
              <w:t>Groundwater</w:t>
            </w:r>
          </w:p>
        </w:tc>
        <w:tc>
          <w:tcPr>
            <w:tcW w:w="2694" w:type="dxa"/>
            <w:vAlign w:val="center"/>
          </w:tcPr>
          <w:p w14:paraId="65021910" w14:textId="74C6CFAF" w:rsidR="00D3362A" w:rsidRDefault="00D3362A" w:rsidP="00081222">
            <w:pPr>
              <w:tabs>
                <w:tab w:val="left" w:pos="939"/>
              </w:tabs>
              <w:jc w:val="center"/>
              <w:rPr>
                <w:rFonts w:ascii="Arial" w:hAnsi="Arial" w:cs="Arial"/>
              </w:rPr>
            </w:pPr>
            <w:r>
              <w:rPr>
                <w:rFonts w:ascii="Arial" w:hAnsi="Arial" w:cs="Arial"/>
              </w:rPr>
              <w:t>118</w:t>
            </w:r>
          </w:p>
        </w:tc>
        <w:tc>
          <w:tcPr>
            <w:tcW w:w="2693" w:type="dxa"/>
            <w:vAlign w:val="center"/>
          </w:tcPr>
          <w:p w14:paraId="1C885794" w14:textId="2B5C05DC" w:rsidR="00D3362A" w:rsidRDefault="00D3362A" w:rsidP="00081222">
            <w:pPr>
              <w:tabs>
                <w:tab w:val="left" w:pos="939"/>
              </w:tabs>
              <w:jc w:val="center"/>
              <w:rPr>
                <w:rFonts w:ascii="Arial" w:hAnsi="Arial" w:cs="Arial"/>
              </w:rPr>
            </w:pPr>
            <w:r>
              <w:rPr>
                <w:rFonts w:ascii="Arial" w:hAnsi="Arial" w:cs="Arial"/>
              </w:rPr>
              <w:t>114</w:t>
            </w:r>
          </w:p>
        </w:tc>
      </w:tr>
    </w:tbl>
    <w:p w14:paraId="38B391FA" w14:textId="023B8333" w:rsidR="00081222" w:rsidRDefault="00081222" w:rsidP="00081222">
      <w:pPr>
        <w:rPr>
          <w:rFonts w:ascii="Arial" w:hAnsi="Arial" w:cs="Arial"/>
        </w:rPr>
      </w:pPr>
    </w:p>
    <w:p w14:paraId="4024FA78" w14:textId="57F98447" w:rsidR="00470D1E" w:rsidRDefault="00470D1E" w:rsidP="00470D1E">
      <w:pPr>
        <w:rPr>
          <w:rFonts w:ascii="Arial" w:hAnsi="Arial" w:cs="Arial"/>
        </w:rPr>
      </w:pPr>
      <w:r w:rsidRPr="00470D1E">
        <w:rPr>
          <w:rFonts w:ascii="Arial" w:hAnsi="Arial" w:cs="Arial"/>
        </w:rPr>
        <w:t>Standard strength discharges, shown in the table above, will be applied for charging purposes unless we determine that it is not a suitable basis of charge in specific circumstances or if the customer requests charging to be based on sample results.</w:t>
      </w:r>
    </w:p>
    <w:p w14:paraId="1A548591" w14:textId="3794C320" w:rsidR="00470D1E" w:rsidRDefault="00470D1E" w:rsidP="00470D1E">
      <w:pPr>
        <w:rPr>
          <w:rFonts w:ascii="Arial" w:hAnsi="Arial" w:cs="Arial"/>
        </w:rPr>
      </w:pPr>
    </w:p>
    <w:p w14:paraId="315D0A1C" w14:textId="63077DFA" w:rsidR="00470D1E" w:rsidRDefault="00470D1E" w:rsidP="00470D1E">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26848" behindDoc="0" locked="0" layoutInCell="1" allowOverlap="1" wp14:anchorId="2CFBB136" wp14:editId="5637C50C">
                <wp:simplePos x="0" y="0"/>
                <wp:positionH relativeFrom="column">
                  <wp:posOffset>-857250</wp:posOffset>
                </wp:positionH>
                <wp:positionV relativeFrom="paragraph">
                  <wp:posOffset>-39370</wp:posOffset>
                </wp:positionV>
                <wp:extent cx="7418070" cy="361666"/>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45957F7" w14:textId="1F0D578A"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B.2.3 Other trade effluent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B136" id="Text Box 29" o:spid="_x0000_s1055" type="#_x0000_t202" style="position:absolute;margin-left:-67.5pt;margin-top:-3.1pt;width:584.1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" fillcolor="#069" stroked="f" strokeweight=".5pt">
                <v:textbox>
                  <w:txbxContent>
                    <w:p w14:paraId="645957F7" w14:textId="1F0D578A"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B.2.3 Other trade effluent charges</w:t>
                      </w:r>
                    </w:p>
                  </w:txbxContent>
                </v:textbox>
              </v:shape>
            </w:pict>
          </mc:Fallback>
        </mc:AlternateContent>
      </w:r>
    </w:p>
    <w:tbl>
      <w:tblPr>
        <w:tblStyle w:val="TableGrid"/>
        <w:tblpPr w:leftFromText="180" w:rightFromText="180" w:vertAnchor="text" w:horzAnchor="margin" w:tblpXSpec="center" w:tblpY="488"/>
        <w:tblW w:w="9918" w:type="dxa"/>
        <w:tblLook w:val="04A0" w:firstRow="1" w:lastRow="0" w:firstColumn="1" w:lastColumn="0" w:noHBand="0" w:noVBand="1"/>
      </w:tblPr>
      <w:tblGrid>
        <w:gridCol w:w="7555"/>
        <w:gridCol w:w="2363"/>
      </w:tblGrid>
      <w:tr w:rsidR="00470D1E" w14:paraId="16FB76D4" w14:textId="77777777" w:rsidTr="00470D1E">
        <w:trPr>
          <w:trHeight w:val="567"/>
        </w:trPr>
        <w:tc>
          <w:tcPr>
            <w:tcW w:w="7555" w:type="dxa"/>
            <w:shd w:val="clear" w:color="auto" w:fill="006699"/>
            <w:vAlign w:val="center"/>
          </w:tcPr>
          <w:p w14:paraId="5084413E" w14:textId="77777777" w:rsidR="00470D1E" w:rsidRPr="00BF57F7" w:rsidRDefault="00470D1E" w:rsidP="00470D1E">
            <w:pPr>
              <w:tabs>
                <w:tab w:val="left" w:pos="939"/>
              </w:tabs>
              <w:rPr>
                <w:rFonts w:ascii="Arial" w:hAnsi="Arial" w:cs="Arial"/>
                <w:b/>
                <w:color w:val="FFFFFF" w:themeColor="background1"/>
              </w:rPr>
            </w:pPr>
            <w:r>
              <w:rPr>
                <w:rFonts w:ascii="Arial" w:hAnsi="Arial" w:cs="Arial"/>
                <w:b/>
                <w:color w:val="FFFFFF" w:themeColor="background1"/>
              </w:rPr>
              <w:t>Description</w:t>
            </w:r>
          </w:p>
        </w:tc>
        <w:tc>
          <w:tcPr>
            <w:tcW w:w="2363" w:type="dxa"/>
            <w:shd w:val="clear" w:color="auto" w:fill="006699"/>
            <w:vAlign w:val="center"/>
          </w:tcPr>
          <w:p w14:paraId="7CC7C5C8" w14:textId="2F0A0519" w:rsidR="00470D1E" w:rsidRPr="00BF57F7"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470D1E" w14:paraId="65ADA348" w14:textId="77777777" w:rsidTr="00470D1E">
        <w:trPr>
          <w:trHeight w:val="700"/>
        </w:trPr>
        <w:tc>
          <w:tcPr>
            <w:tcW w:w="7555" w:type="dxa"/>
            <w:vAlign w:val="center"/>
          </w:tcPr>
          <w:p w14:paraId="480A6F84" w14:textId="58C2B87C" w:rsidR="00470D1E" w:rsidRPr="00470D1E" w:rsidRDefault="00470D1E" w:rsidP="00470D1E">
            <w:pPr>
              <w:tabs>
                <w:tab w:val="left" w:pos="939"/>
              </w:tabs>
              <w:rPr>
                <w:rFonts w:ascii="Arial" w:hAnsi="Arial" w:cs="Arial"/>
              </w:rPr>
            </w:pPr>
            <w:r w:rsidRPr="00470D1E">
              <w:rPr>
                <w:rFonts w:ascii="Arial" w:hAnsi="Arial" w:cs="Arial"/>
              </w:rPr>
              <w:t>Minimum charge per annum or duration of consent, whichever is the shorter</w:t>
            </w:r>
          </w:p>
        </w:tc>
        <w:tc>
          <w:tcPr>
            <w:tcW w:w="2363" w:type="dxa"/>
            <w:vAlign w:val="center"/>
          </w:tcPr>
          <w:p w14:paraId="53650640" w14:textId="7C67797B" w:rsidR="00470D1E" w:rsidRDefault="00470D1E" w:rsidP="004B4C72">
            <w:pPr>
              <w:tabs>
                <w:tab w:val="left" w:pos="939"/>
              </w:tabs>
              <w:jc w:val="center"/>
              <w:rPr>
                <w:rFonts w:ascii="Arial" w:hAnsi="Arial" w:cs="Arial"/>
              </w:rPr>
            </w:pPr>
            <w:r>
              <w:rPr>
                <w:rFonts w:ascii="Arial" w:hAnsi="Arial" w:cs="Arial"/>
              </w:rPr>
              <w:t>£</w:t>
            </w:r>
            <w:r w:rsidR="00C22FD5">
              <w:rPr>
                <w:rFonts w:ascii="Arial" w:hAnsi="Arial" w:cs="Arial"/>
              </w:rPr>
              <w:t>14</w:t>
            </w:r>
            <w:r w:rsidR="004B3AFC">
              <w:rPr>
                <w:rFonts w:ascii="Arial" w:hAnsi="Arial" w:cs="Arial"/>
              </w:rPr>
              <w:t>2.84</w:t>
            </w:r>
          </w:p>
        </w:tc>
      </w:tr>
      <w:tr w:rsidR="00470D1E" w14:paraId="6381DA67" w14:textId="77777777" w:rsidTr="00470D1E">
        <w:trPr>
          <w:trHeight w:val="683"/>
        </w:trPr>
        <w:tc>
          <w:tcPr>
            <w:tcW w:w="7555" w:type="dxa"/>
            <w:vAlign w:val="center"/>
          </w:tcPr>
          <w:p w14:paraId="515DFFC9" w14:textId="7D537762" w:rsidR="00470D1E" w:rsidRPr="00470D1E" w:rsidRDefault="00470D1E" w:rsidP="00470D1E">
            <w:pPr>
              <w:tabs>
                <w:tab w:val="left" w:pos="939"/>
              </w:tabs>
              <w:rPr>
                <w:rFonts w:ascii="Arial" w:hAnsi="Arial" w:cs="Arial"/>
              </w:rPr>
            </w:pPr>
            <w:r w:rsidRPr="00470D1E">
              <w:rPr>
                <w:rFonts w:ascii="Arial" w:hAnsi="Arial" w:cs="Arial"/>
              </w:rPr>
              <w:t xml:space="preserve">Ammoniacal nitrogen treatment charge per mg </w:t>
            </w:r>
            <w:proofErr w:type="gramStart"/>
            <w:r w:rsidRPr="00470D1E">
              <w:rPr>
                <w:rFonts w:ascii="Arial" w:hAnsi="Arial" w:cs="Arial"/>
              </w:rPr>
              <w:t>in excess of</w:t>
            </w:r>
            <w:proofErr w:type="gramEnd"/>
            <w:r w:rsidRPr="00470D1E">
              <w:rPr>
                <w:rFonts w:ascii="Arial" w:hAnsi="Arial" w:cs="Arial"/>
              </w:rPr>
              <w:t xml:space="preserve"> 35mg/l expressed as a fraction of 35</w:t>
            </w:r>
          </w:p>
        </w:tc>
        <w:tc>
          <w:tcPr>
            <w:tcW w:w="2363" w:type="dxa"/>
            <w:vAlign w:val="center"/>
          </w:tcPr>
          <w:p w14:paraId="1E2A9AD0" w14:textId="682A6BA3" w:rsidR="00470D1E" w:rsidRDefault="00470D1E" w:rsidP="00470D1E">
            <w:pPr>
              <w:tabs>
                <w:tab w:val="left" w:pos="939"/>
              </w:tabs>
              <w:jc w:val="center"/>
              <w:rPr>
                <w:rFonts w:ascii="Arial" w:hAnsi="Arial" w:cs="Arial"/>
              </w:rPr>
            </w:pPr>
            <w:r>
              <w:rPr>
                <w:rFonts w:ascii="Arial" w:hAnsi="Arial" w:cs="Arial"/>
              </w:rPr>
              <w:t>2.</w:t>
            </w:r>
            <w:r w:rsidR="00C22FD5">
              <w:rPr>
                <w:rFonts w:ascii="Arial" w:hAnsi="Arial" w:cs="Arial"/>
              </w:rPr>
              <w:t>8</w:t>
            </w:r>
            <w:r w:rsidR="00041805">
              <w:rPr>
                <w:rFonts w:ascii="Arial" w:hAnsi="Arial" w:cs="Arial"/>
              </w:rPr>
              <w:t>9</w:t>
            </w:r>
            <w:r>
              <w:rPr>
                <w:rFonts w:ascii="Arial" w:hAnsi="Arial" w:cs="Arial"/>
              </w:rPr>
              <w:t xml:space="preserve"> pence per m</w:t>
            </w:r>
            <w:r w:rsidRPr="00470D1E">
              <w:rPr>
                <w:rFonts w:ascii="Arial" w:hAnsi="Arial" w:cs="Arial"/>
                <w:vertAlign w:val="superscript"/>
              </w:rPr>
              <w:t>3</w:t>
            </w:r>
          </w:p>
        </w:tc>
      </w:tr>
    </w:tbl>
    <w:p w14:paraId="3178C187" w14:textId="1FFF2FEE" w:rsidR="00470D1E" w:rsidRDefault="00470D1E" w:rsidP="00470D1E">
      <w:pPr>
        <w:rPr>
          <w:rFonts w:ascii="Arial" w:hAnsi="Arial" w:cs="Arial"/>
        </w:rPr>
      </w:pPr>
    </w:p>
    <w:p w14:paraId="1BDE731D" w14:textId="0B6E9572" w:rsidR="00470D1E" w:rsidRDefault="00470D1E" w:rsidP="00470D1E">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8896" behindDoc="0" locked="0" layoutInCell="1" allowOverlap="1" wp14:anchorId="38569F04" wp14:editId="107F373E">
                <wp:simplePos x="0" y="0"/>
                <wp:positionH relativeFrom="column">
                  <wp:posOffset>-857250</wp:posOffset>
                </wp:positionH>
                <wp:positionV relativeFrom="paragraph">
                  <wp:posOffset>1600200</wp:posOffset>
                </wp:positionV>
                <wp:extent cx="7418070" cy="361666"/>
                <wp:effectExtent l="0" t="0" r="0" b="635"/>
                <wp:wrapNone/>
                <wp:docPr id="30" name="Text Box 3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514925C" w14:textId="11F98056"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B.2.4 Trade effluent fixed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9F04" id="Text Box 30" o:spid="_x0000_s1056" type="#_x0000_t202" style="position:absolute;margin-left:-67.5pt;margin-top:126pt;width:584.1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iFRgIAAIQ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" fillcolor="#069" stroked="f" strokeweight=".5pt">
                <v:textbox>
                  <w:txbxContent>
                    <w:p w14:paraId="1514925C" w14:textId="11F98056"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B.2.4 Trade effluent fixed charges</w:t>
                      </w:r>
                    </w:p>
                  </w:txbxContent>
                </v:textbox>
              </v:shape>
            </w:pict>
          </mc:Fallback>
        </mc:AlternateContent>
      </w:r>
    </w:p>
    <w:p w14:paraId="587F6831" w14:textId="3CB9277A" w:rsidR="00470D1E" w:rsidRDefault="00470D1E" w:rsidP="00470D1E">
      <w:pPr>
        <w:rPr>
          <w:rFonts w:ascii="Arial" w:hAnsi="Arial" w:cs="Arial"/>
        </w:rPr>
      </w:pPr>
    </w:p>
    <w:p w14:paraId="14301EA6" w14:textId="27834C59" w:rsidR="00470D1E" w:rsidRDefault="00470D1E" w:rsidP="00470D1E">
      <w:pPr>
        <w:rPr>
          <w:rFonts w:ascii="Arial" w:hAnsi="Arial" w:cs="Arial"/>
        </w:rPr>
      </w:pPr>
    </w:p>
    <w:tbl>
      <w:tblPr>
        <w:tblStyle w:val="TableGrid"/>
        <w:tblpPr w:leftFromText="180" w:rightFromText="180" w:vertAnchor="text" w:horzAnchor="margin" w:tblpXSpec="center" w:tblpY="176"/>
        <w:tblW w:w="9877" w:type="dxa"/>
        <w:tblLook w:val="04A0" w:firstRow="1" w:lastRow="0" w:firstColumn="1" w:lastColumn="0" w:noHBand="0" w:noVBand="1"/>
      </w:tblPr>
      <w:tblGrid>
        <w:gridCol w:w="4262"/>
        <w:gridCol w:w="2933"/>
        <w:gridCol w:w="2682"/>
      </w:tblGrid>
      <w:tr w:rsidR="00470D1E" w14:paraId="24621014" w14:textId="4BBA06BE" w:rsidTr="00470D1E">
        <w:trPr>
          <w:trHeight w:val="567"/>
        </w:trPr>
        <w:tc>
          <w:tcPr>
            <w:tcW w:w="4262" w:type="dxa"/>
            <w:shd w:val="clear" w:color="auto" w:fill="006699"/>
            <w:vAlign w:val="center"/>
          </w:tcPr>
          <w:p w14:paraId="4F10B6E3" w14:textId="2765FBA7" w:rsidR="00470D1E" w:rsidRPr="00470D1E" w:rsidRDefault="00470D1E" w:rsidP="00470D1E">
            <w:pPr>
              <w:tabs>
                <w:tab w:val="left" w:pos="939"/>
              </w:tabs>
              <w:rPr>
                <w:rFonts w:ascii="Arial" w:hAnsi="Arial" w:cs="Arial"/>
                <w:b/>
                <w:color w:val="FFFFFF" w:themeColor="background1"/>
              </w:rPr>
            </w:pPr>
            <w:r>
              <w:rPr>
                <w:rFonts w:ascii="Arial" w:hAnsi="Arial" w:cs="Arial"/>
                <w:b/>
                <w:color w:val="FFFFFF" w:themeColor="background1"/>
              </w:rPr>
              <w:t>Discharge volume (m</w:t>
            </w:r>
            <w:r w:rsidRPr="00470D1E">
              <w:rPr>
                <w:rFonts w:ascii="Arial" w:hAnsi="Arial" w:cs="Arial"/>
                <w:b/>
                <w:color w:val="FFFFFF" w:themeColor="background1"/>
                <w:vertAlign w:val="superscript"/>
              </w:rPr>
              <w:t>3</w:t>
            </w:r>
            <w:r>
              <w:rPr>
                <w:rFonts w:ascii="Arial" w:hAnsi="Arial" w:cs="Arial"/>
                <w:b/>
                <w:color w:val="FFFFFF" w:themeColor="background1"/>
                <w:vertAlign w:val="superscript"/>
              </w:rPr>
              <w:t xml:space="preserve"> </w:t>
            </w:r>
            <w:r>
              <w:rPr>
                <w:rFonts w:ascii="Arial" w:hAnsi="Arial" w:cs="Arial"/>
                <w:b/>
                <w:color w:val="FFFFFF" w:themeColor="background1"/>
              </w:rPr>
              <w:t>per annum)</w:t>
            </w:r>
          </w:p>
        </w:tc>
        <w:tc>
          <w:tcPr>
            <w:tcW w:w="2933" w:type="dxa"/>
            <w:shd w:val="clear" w:color="auto" w:fill="006699"/>
            <w:vAlign w:val="center"/>
          </w:tcPr>
          <w:p w14:paraId="4F44FB1B" w14:textId="77777777" w:rsidR="00470D1E" w:rsidRPr="00BF57F7"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Charge</w:t>
            </w:r>
          </w:p>
        </w:tc>
        <w:tc>
          <w:tcPr>
            <w:tcW w:w="2682" w:type="dxa"/>
            <w:shd w:val="clear" w:color="auto" w:fill="006699"/>
            <w:vAlign w:val="center"/>
          </w:tcPr>
          <w:p w14:paraId="3AA182E3" w14:textId="40075A76" w:rsidR="00470D1E"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Minimum Charge</w:t>
            </w:r>
          </w:p>
        </w:tc>
      </w:tr>
      <w:tr w:rsidR="00470D1E" w14:paraId="2FDC367A" w14:textId="61270C77" w:rsidTr="007121FB">
        <w:trPr>
          <w:trHeight w:val="700"/>
        </w:trPr>
        <w:tc>
          <w:tcPr>
            <w:tcW w:w="4262" w:type="dxa"/>
            <w:vAlign w:val="center"/>
          </w:tcPr>
          <w:p w14:paraId="610F9DDD" w14:textId="46CE83F6" w:rsidR="007121FB" w:rsidRPr="00470D1E" w:rsidRDefault="007121FB" w:rsidP="007121FB">
            <w:pPr>
              <w:tabs>
                <w:tab w:val="left" w:pos="939"/>
              </w:tabs>
              <w:rPr>
                <w:rFonts w:ascii="Arial" w:hAnsi="Arial" w:cs="Arial"/>
              </w:rPr>
            </w:pPr>
            <w:r>
              <w:rPr>
                <w:rFonts w:ascii="Arial" w:hAnsi="Arial" w:cs="Arial"/>
              </w:rPr>
              <w:t>0 – 500</w:t>
            </w:r>
          </w:p>
        </w:tc>
        <w:tc>
          <w:tcPr>
            <w:tcW w:w="2933" w:type="dxa"/>
            <w:vAlign w:val="center"/>
          </w:tcPr>
          <w:p w14:paraId="2F2815E1" w14:textId="4311E103" w:rsidR="00470D1E" w:rsidRDefault="007121FB" w:rsidP="004B4C72">
            <w:pPr>
              <w:tabs>
                <w:tab w:val="left" w:pos="939"/>
              </w:tabs>
              <w:jc w:val="center"/>
              <w:rPr>
                <w:rFonts w:ascii="Arial" w:hAnsi="Arial" w:cs="Arial"/>
              </w:rPr>
            </w:pPr>
            <w:r>
              <w:rPr>
                <w:rFonts w:ascii="Arial" w:hAnsi="Arial" w:cs="Arial"/>
              </w:rPr>
              <w:t>-£</w:t>
            </w:r>
            <w:r w:rsidR="00C22FD5">
              <w:rPr>
                <w:rFonts w:ascii="Arial" w:hAnsi="Arial" w:cs="Arial"/>
              </w:rPr>
              <w:t>32.50</w:t>
            </w:r>
          </w:p>
        </w:tc>
        <w:tc>
          <w:tcPr>
            <w:tcW w:w="2682" w:type="dxa"/>
            <w:vAlign w:val="center"/>
          </w:tcPr>
          <w:p w14:paraId="32160E71" w14:textId="0C2B749F" w:rsidR="00470D1E" w:rsidRDefault="007121FB" w:rsidP="004B4C72">
            <w:pPr>
              <w:tabs>
                <w:tab w:val="left" w:pos="939"/>
              </w:tabs>
              <w:jc w:val="center"/>
              <w:rPr>
                <w:rFonts w:ascii="Arial" w:hAnsi="Arial" w:cs="Arial"/>
              </w:rPr>
            </w:pPr>
            <w:r>
              <w:rPr>
                <w:rFonts w:ascii="Arial" w:hAnsi="Arial" w:cs="Arial"/>
              </w:rPr>
              <w:t>£</w:t>
            </w:r>
            <w:r w:rsidR="00C22FD5">
              <w:rPr>
                <w:rFonts w:ascii="Arial" w:hAnsi="Arial" w:cs="Arial"/>
              </w:rPr>
              <w:t>14</w:t>
            </w:r>
            <w:r w:rsidR="009857C8">
              <w:rPr>
                <w:rFonts w:ascii="Arial" w:hAnsi="Arial" w:cs="Arial"/>
              </w:rPr>
              <w:t>2.84</w:t>
            </w:r>
          </w:p>
        </w:tc>
      </w:tr>
      <w:tr w:rsidR="00470D1E" w14:paraId="187A230A" w14:textId="1334DD65" w:rsidTr="007121FB">
        <w:trPr>
          <w:trHeight w:val="683"/>
        </w:trPr>
        <w:tc>
          <w:tcPr>
            <w:tcW w:w="4262" w:type="dxa"/>
            <w:vAlign w:val="center"/>
          </w:tcPr>
          <w:p w14:paraId="2E22A2B7" w14:textId="24240596" w:rsidR="00470D1E" w:rsidRPr="00470D1E" w:rsidRDefault="00470D1E" w:rsidP="00470D1E">
            <w:pPr>
              <w:tabs>
                <w:tab w:val="left" w:pos="939"/>
              </w:tabs>
              <w:rPr>
                <w:rFonts w:ascii="Arial" w:hAnsi="Arial" w:cs="Arial"/>
              </w:rPr>
            </w:pPr>
            <w:r>
              <w:rPr>
                <w:rFonts w:ascii="Arial" w:hAnsi="Arial" w:cs="Arial"/>
              </w:rPr>
              <w:t>500</w:t>
            </w:r>
            <w:r w:rsidR="007121FB">
              <w:rPr>
                <w:rFonts w:ascii="Arial" w:hAnsi="Arial" w:cs="Arial"/>
              </w:rPr>
              <w:t xml:space="preserve"> – 1,000</w:t>
            </w:r>
          </w:p>
        </w:tc>
        <w:tc>
          <w:tcPr>
            <w:tcW w:w="2933" w:type="dxa"/>
            <w:vAlign w:val="center"/>
          </w:tcPr>
          <w:p w14:paraId="01C90965" w14:textId="7AD5CD89" w:rsidR="00470D1E" w:rsidRDefault="007121FB" w:rsidP="004B4C72">
            <w:pPr>
              <w:tabs>
                <w:tab w:val="left" w:pos="939"/>
              </w:tabs>
              <w:jc w:val="center"/>
              <w:rPr>
                <w:rFonts w:ascii="Arial" w:hAnsi="Arial" w:cs="Arial"/>
              </w:rPr>
            </w:pPr>
            <w:r>
              <w:rPr>
                <w:rFonts w:ascii="Arial" w:hAnsi="Arial" w:cs="Arial"/>
              </w:rPr>
              <w:t>-£</w:t>
            </w:r>
            <w:r w:rsidR="00C22FD5">
              <w:rPr>
                <w:rFonts w:ascii="Arial" w:hAnsi="Arial" w:cs="Arial"/>
              </w:rPr>
              <w:t>8.50</w:t>
            </w:r>
          </w:p>
        </w:tc>
        <w:tc>
          <w:tcPr>
            <w:tcW w:w="2682" w:type="dxa"/>
            <w:vAlign w:val="center"/>
          </w:tcPr>
          <w:p w14:paraId="6E1E2516" w14:textId="431FEE97" w:rsidR="00470D1E" w:rsidRDefault="007121FB" w:rsidP="007121FB">
            <w:pPr>
              <w:tabs>
                <w:tab w:val="left" w:pos="939"/>
              </w:tabs>
              <w:jc w:val="center"/>
              <w:rPr>
                <w:rFonts w:ascii="Arial" w:hAnsi="Arial" w:cs="Arial"/>
              </w:rPr>
            </w:pPr>
            <w:r>
              <w:rPr>
                <w:rFonts w:ascii="Arial" w:hAnsi="Arial" w:cs="Arial"/>
              </w:rPr>
              <w:t>N/A</w:t>
            </w:r>
          </w:p>
        </w:tc>
      </w:tr>
      <w:tr w:rsidR="007121FB" w14:paraId="3CFD89FC" w14:textId="77777777" w:rsidTr="007121FB">
        <w:trPr>
          <w:trHeight w:val="683"/>
        </w:trPr>
        <w:tc>
          <w:tcPr>
            <w:tcW w:w="4262" w:type="dxa"/>
            <w:vAlign w:val="center"/>
          </w:tcPr>
          <w:p w14:paraId="6C039F8C" w14:textId="6F2096AE" w:rsidR="007121FB" w:rsidRDefault="007121FB" w:rsidP="00470D1E">
            <w:pPr>
              <w:tabs>
                <w:tab w:val="left" w:pos="939"/>
              </w:tabs>
              <w:rPr>
                <w:rFonts w:ascii="Arial" w:hAnsi="Arial" w:cs="Arial"/>
              </w:rPr>
            </w:pPr>
            <w:r>
              <w:rPr>
                <w:rFonts w:ascii="Arial" w:hAnsi="Arial" w:cs="Arial"/>
              </w:rPr>
              <w:t>1,000 – 5,000</w:t>
            </w:r>
          </w:p>
        </w:tc>
        <w:tc>
          <w:tcPr>
            <w:tcW w:w="2933" w:type="dxa"/>
            <w:vAlign w:val="center"/>
          </w:tcPr>
          <w:p w14:paraId="620CABC7" w14:textId="1ADB44D4" w:rsidR="007121FB" w:rsidRDefault="007121FB" w:rsidP="004B4C72">
            <w:pPr>
              <w:tabs>
                <w:tab w:val="left" w:pos="939"/>
              </w:tabs>
              <w:jc w:val="center"/>
              <w:rPr>
                <w:rFonts w:ascii="Arial" w:hAnsi="Arial" w:cs="Arial"/>
              </w:rPr>
            </w:pPr>
            <w:r>
              <w:rPr>
                <w:rFonts w:ascii="Arial" w:hAnsi="Arial" w:cs="Arial"/>
              </w:rPr>
              <w:t>-£</w:t>
            </w:r>
            <w:r w:rsidR="00C22FD5">
              <w:rPr>
                <w:rFonts w:ascii="Arial" w:hAnsi="Arial" w:cs="Arial"/>
              </w:rPr>
              <w:t>84.00</w:t>
            </w:r>
          </w:p>
        </w:tc>
        <w:tc>
          <w:tcPr>
            <w:tcW w:w="2682" w:type="dxa"/>
            <w:vAlign w:val="center"/>
          </w:tcPr>
          <w:p w14:paraId="1B26DD1E" w14:textId="55A085F4" w:rsidR="007121FB" w:rsidRDefault="007121FB" w:rsidP="007121FB">
            <w:pPr>
              <w:tabs>
                <w:tab w:val="left" w:pos="939"/>
              </w:tabs>
              <w:jc w:val="center"/>
              <w:rPr>
                <w:rFonts w:ascii="Arial" w:hAnsi="Arial" w:cs="Arial"/>
              </w:rPr>
            </w:pPr>
            <w:r>
              <w:rPr>
                <w:rFonts w:ascii="Arial" w:hAnsi="Arial" w:cs="Arial"/>
              </w:rPr>
              <w:t>N/A</w:t>
            </w:r>
          </w:p>
        </w:tc>
      </w:tr>
      <w:tr w:rsidR="007121FB" w14:paraId="57587E2B" w14:textId="77777777" w:rsidTr="007121FB">
        <w:trPr>
          <w:trHeight w:val="683"/>
        </w:trPr>
        <w:tc>
          <w:tcPr>
            <w:tcW w:w="4262" w:type="dxa"/>
            <w:vAlign w:val="center"/>
          </w:tcPr>
          <w:p w14:paraId="536DD4BF" w14:textId="0230E017" w:rsidR="007121FB" w:rsidRDefault="007121FB" w:rsidP="00470D1E">
            <w:pPr>
              <w:tabs>
                <w:tab w:val="left" w:pos="939"/>
              </w:tabs>
              <w:rPr>
                <w:rFonts w:ascii="Arial" w:hAnsi="Arial" w:cs="Arial"/>
              </w:rPr>
            </w:pPr>
            <w:r>
              <w:rPr>
                <w:rFonts w:ascii="Arial" w:hAnsi="Arial" w:cs="Arial"/>
              </w:rPr>
              <w:t>5,000 – 20,000</w:t>
            </w:r>
          </w:p>
        </w:tc>
        <w:tc>
          <w:tcPr>
            <w:tcW w:w="2933" w:type="dxa"/>
            <w:vAlign w:val="center"/>
          </w:tcPr>
          <w:p w14:paraId="37878A6A" w14:textId="493BE7CA" w:rsidR="007121FB" w:rsidRDefault="007121FB" w:rsidP="004B4C72">
            <w:pPr>
              <w:tabs>
                <w:tab w:val="left" w:pos="939"/>
              </w:tabs>
              <w:jc w:val="center"/>
              <w:rPr>
                <w:rFonts w:ascii="Arial" w:hAnsi="Arial" w:cs="Arial"/>
              </w:rPr>
            </w:pPr>
            <w:r>
              <w:rPr>
                <w:rFonts w:ascii="Arial" w:hAnsi="Arial" w:cs="Arial"/>
              </w:rPr>
              <w:t>-£</w:t>
            </w:r>
            <w:r w:rsidR="004B4C72">
              <w:rPr>
                <w:rFonts w:ascii="Arial" w:hAnsi="Arial" w:cs="Arial"/>
              </w:rPr>
              <w:t>0.00</w:t>
            </w:r>
          </w:p>
        </w:tc>
        <w:tc>
          <w:tcPr>
            <w:tcW w:w="2682" w:type="dxa"/>
            <w:vAlign w:val="center"/>
          </w:tcPr>
          <w:p w14:paraId="65D5D4FB" w14:textId="48E642AA" w:rsidR="007121FB" w:rsidRDefault="007121FB" w:rsidP="007121FB">
            <w:pPr>
              <w:tabs>
                <w:tab w:val="left" w:pos="939"/>
              </w:tabs>
              <w:jc w:val="center"/>
              <w:rPr>
                <w:rFonts w:ascii="Arial" w:hAnsi="Arial" w:cs="Arial"/>
              </w:rPr>
            </w:pPr>
            <w:r>
              <w:rPr>
                <w:rFonts w:ascii="Arial" w:hAnsi="Arial" w:cs="Arial"/>
              </w:rPr>
              <w:t>N/A</w:t>
            </w:r>
          </w:p>
        </w:tc>
      </w:tr>
    </w:tbl>
    <w:p w14:paraId="41B9F721" w14:textId="77777777" w:rsidR="007121FB" w:rsidRDefault="007121FB" w:rsidP="00470D1E">
      <w:pPr>
        <w:rPr>
          <w:rFonts w:ascii="Arial" w:hAnsi="Arial" w:cs="Arial"/>
        </w:rPr>
      </w:pPr>
    </w:p>
    <w:p w14:paraId="469E881B" w14:textId="77777777" w:rsidR="007121FB" w:rsidRDefault="007121FB" w:rsidP="00470D1E">
      <w:pPr>
        <w:rPr>
          <w:rFonts w:ascii="Arial" w:hAnsi="Arial" w:cs="Arial"/>
        </w:rPr>
      </w:pPr>
    </w:p>
    <w:p w14:paraId="7314B072" w14:textId="1B321841" w:rsidR="00470D1E" w:rsidRDefault="00470D1E" w:rsidP="00470D1E">
      <w:pPr>
        <w:rPr>
          <w:rFonts w:ascii="Arial" w:hAnsi="Arial" w:cs="Arial"/>
        </w:rPr>
      </w:pPr>
    </w:p>
    <w:p w14:paraId="5AF44BE0" w14:textId="5B11CDEE" w:rsidR="00470D1E" w:rsidRDefault="00470D1E" w:rsidP="00470D1E">
      <w:pPr>
        <w:rPr>
          <w:rFonts w:ascii="Arial" w:hAnsi="Arial" w:cs="Arial"/>
        </w:rPr>
      </w:pPr>
    </w:p>
    <w:p w14:paraId="55160BC3" w14:textId="49CE0BAF" w:rsidR="007121FB" w:rsidRDefault="007121FB" w:rsidP="007121FB">
      <w:pPr>
        <w:rPr>
          <w:rFonts w:ascii="Arial" w:hAnsi="Arial" w:cs="Arial"/>
        </w:rPr>
      </w:pPr>
    </w:p>
    <w:p w14:paraId="11DBDAB6" w14:textId="2053F84A" w:rsidR="007121FB" w:rsidRDefault="007121FB" w:rsidP="007121FB">
      <w:pPr>
        <w:rPr>
          <w:rFonts w:ascii="Arial" w:hAnsi="Arial" w:cs="Arial"/>
        </w:rPr>
      </w:pPr>
    </w:p>
    <w:p w14:paraId="506903DA" w14:textId="67C59B48" w:rsidR="007121FB" w:rsidRDefault="007121FB" w:rsidP="007121FB">
      <w:pPr>
        <w:rPr>
          <w:rFonts w:ascii="Arial" w:hAnsi="Arial" w:cs="Arial"/>
        </w:rPr>
      </w:pPr>
    </w:p>
    <w:p w14:paraId="22E3183D" w14:textId="7D259208" w:rsidR="007121FB" w:rsidRDefault="007121FB" w:rsidP="007121FB">
      <w:pPr>
        <w:rPr>
          <w:rFonts w:ascii="Arial" w:hAnsi="Arial" w:cs="Arial"/>
        </w:rPr>
      </w:pPr>
    </w:p>
    <w:p w14:paraId="25602DC0" w14:textId="77777777" w:rsidR="007121FB" w:rsidRDefault="007121FB" w:rsidP="007121FB">
      <w:pPr>
        <w:rPr>
          <w:rFonts w:ascii="Arial" w:hAnsi="Arial" w:cs="Arial"/>
        </w:rPr>
      </w:pPr>
    </w:p>
    <w:p w14:paraId="63829423" w14:textId="77777777" w:rsidR="007121FB" w:rsidRDefault="007121FB" w:rsidP="007121FB">
      <w:pPr>
        <w:rPr>
          <w:rFonts w:ascii="Arial" w:hAnsi="Arial" w:cs="Arial"/>
        </w:rPr>
      </w:pPr>
    </w:p>
    <w:p w14:paraId="1A13EB74" w14:textId="77777777" w:rsidR="007121FB" w:rsidRDefault="007121FB" w:rsidP="007121FB">
      <w:pPr>
        <w:rPr>
          <w:rFonts w:ascii="Arial" w:hAnsi="Arial" w:cs="Arial"/>
        </w:rPr>
      </w:pPr>
    </w:p>
    <w:p w14:paraId="6F278502" w14:textId="0A90E07D" w:rsidR="007121FB" w:rsidRDefault="007121FB" w:rsidP="007121FB">
      <w:pPr>
        <w:rPr>
          <w:rFonts w:ascii="Arial" w:hAnsi="Arial" w:cs="Arial"/>
        </w:rPr>
      </w:pPr>
    </w:p>
    <w:p w14:paraId="14383FCC" w14:textId="41D22187" w:rsidR="007121FB" w:rsidRDefault="007121FB" w:rsidP="007121FB">
      <w:pPr>
        <w:rPr>
          <w:rFonts w:ascii="Arial" w:hAnsi="Arial" w:cs="Arial"/>
        </w:rPr>
      </w:pPr>
    </w:p>
    <w:p w14:paraId="4FEADB76" w14:textId="6BD947BB" w:rsidR="007121FB" w:rsidRDefault="007121FB" w:rsidP="007121FB">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30944" behindDoc="0" locked="0" layoutInCell="1" allowOverlap="1" wp14:anchorId="6DA35B4F" wp14:editId="4902A6D8">
                <wp:simplePos x="0" y="0"/>
                <wp:positionH relativeFrom="column">
                  <wp:posOffset>-857250</wp:posOffset>
                </wp:positionH>
                <wp:positionV relativeFrom="paragraph">
                  <wp:posOffset>-49530</wp:posOffset>
                </wp:positionV>
                <wp:extent cx="7418070" cy="361666"/>
                <wp:effectExtent l="0" t="0" r="0" b="635"/>
                <wp:wrapNone/>
                <wp:docPr id="31" name="Text Box 3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56C306E" w14:textId="0F7989E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B.2.5 </w:t>
                            </w:r>
                            <w:r w:rsidRPr="007121FB">
                              <w:rPr>
                                <w:rFonts w:ascii="Arial" w:hAnsi="Arial" w:cs="Arial"/>
                                <w:color w:val="FFFFFF" w:themeColor="background1"/>
                                <w:sz w:val="32"/>
                                <w:szCs w:val="32"/>
                              </w:rPr>
                              <w:t>Large volume trade effluent user tariff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5B4F" id="Text Box 31" o:spid="_x0000_s1057" type="#_x0000_t202" style="position:absolute;margin-left:-67.5pt;margin-top:-3.9pt;width:584.1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" fillcolor="#069" stroked="f" strokeweight=".5pt">
                <v:textbox>
                  <w:txbxContent>
                    <w:p w14:paraId="556C306E" w14:textId="0F7989E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B.2.5 </w:t>
                      </w:r>
                      <w:r w:rsidRPr="007121FB">
                        <w:rPr>
                          <w:rFonts w:ascii="Arial" w:hAnsi="Arial" w:cs="Arial"/>
                          <w:color w:val="FFFFFF" w:themeColor="background1"/>
                          <w:sz w:val="32"/>
                          <w:szCs w:val="32"/>
                        </w:rPr>
                        <w:t>Large volume trade effluent user tariff</w:t>
                      </w:r>
                    </w:p>
                  </w:txbxContent>
                </v:textbox>
              </v:shape>
            </w:pict>
          </mc:Fallback>
        </mc:AlternateContent>
      </w:r>
    </w:p>
    <w:p w14:paraId="08390D43" w14:textId="423FAB27" w:rsidR="007121FB" w:rsidRDefault="007121FB" w:rsidP="007121FB">
      <w:pPr>
        <w:rPr>
          <w:rFonts w:ascii="Arial" w:hAnsi="Arial" w:cs="Arial"/>
        </w:rPr>
      </w:pPr>
    </w:p>
    <w:p w14:paraId="75C7E781" w14:textId="741F6AE4" w:rsidR="007121FB" w:rsidRDefault="007121FB" w:rsidP="007121FB">
      <w:pPr>
        <w:rPr>
          <w:rFonts w:ascii="Arial" w:hAnsi="Arial" w:cs="Arial"/>
        </w:rPr>
      </w:pPr>
      <w:r w:rsidRPr="007121FB">
        <w:rPr>
          <w:rFonts w:ascii="Arial" w:hAnsi="Arial" w:cs="Arial"/>
        </w:rPr>
        <w:t>If the annual bill is more than £</w:t>
      </w:r>
      <w:r w:rsidR="004B4C72">
        <w:rPr>
          <w:rFonts w:ascii="Arial" w:hAnsi="Arial" w:cs="Arial"/>
        </w:rPr>
        <w:t>101,770</w:t>
      </w:r>
      <w:r w:rsidRPr="007121FB">
        <w:rPr>
          <w:rFonts w:ascii="Arial" w:hAnsi="Arial" w:cs="Arial"/>
        </w:rPr>
        <w:t xml:space="preserve"> at any one site (or sites qualifying for aggregation), the charge will be based on our large user trade effluent tariff. This includes an annual charge of £</w:t>
      </w:r>
      <w:r w:rsidR="00A0219B">
        <w:rPr>
          <w:rFonts w:ascii="Arial" w:hAnsi="Arial" w:cs="Arial"/>
        </w:rPr>
        <w:t>20,</w:t>
      </w:r>
      <w:r w:rsidR="004B4C72">
        <w:rPr>
          <w:rFonts w:ascii="Arial" w:hAnsi="Arial" w:cs="Arial"/>
        </w:rPr>
        <w:t>353.99</w:t>
      </w:r>
      <w:r w:rsidRPr="007121FB">
        <w:rPr>
          <w:rFonts w:ascii="Arial" w:hAnsi="Arial" w:cs="Arial"/>
        </w:rPr>
        <w:t xml:space="preserve"> in addition to the volumetric charges set out in Table B.</w:t>
      </w:r>
      <w:r w:rsidR="004B4C72">
        <w:rPr>
          <w:rFonts w:ascii="Arial" w:hAnsi="Arial" w:cs="Arial"/>
        </w:rPr>
        <w:t>2.6</w:t>
      </w:r>
      <w:r w:rsidRPr="007121FB">
        <w:rPr>
          <w:rFonts w:ascii="Arial" w:hAnsi="Arial" w:cs="Arial"/>
        </w:rPr>
        <w:t xml:space="preserve"> Large user volume charge per cubic meter or kg of trade effluent.</w:t>
      </w:r>
    </w:p>
    <w:p w14:paraId="4174B268" w14:textId="199B835B" w:rsidR="007121FB" w:rsidRDefault="007121FB" w:rsidP="007121F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2992" behindDoc="0" locked="0" layoutInCell="1" allowOverlap="1" wp14:anchorId="38B8B687" wp14:editId="02ECA390">
                <wp:simplePos x="0" y="0"/>
                <wp:positionH relativeFrom="column">
                  <wp:posOffset>-857250</wp:posOffset>
                </wp:positionH>
                <wp:positionV relativeFrom="paragraph">
                  <wp:posOffset>188595</wp:posOffset>
                </wp:positionV>
                <wp:extent cx="7418070" cy="361666"/>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D4A47DF" w14:textId="084891A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B.2.6 </w:t>
                            </w:r>
                            <w:r w:rsidRPr="007121FB">
                              <w:rPr>
                                <w:rFonts w:ascii="Arial" w:hAnsi="Arial" w:cs="Arial"/>
                                <w:color w:val="FFFFFF" w:themeColor="background1"/>
                                <w:sz w:val="32"/>
                                <w:szCs w:val="32"/>
                              </w:rPr>
                              <w:t>Large user volume charge per cubic meter or kg of trade effluent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B687" id="Text Box 32" o:spid="_x0000_s1058" type="#_x0000_t202" style="position:absolute;margin-left:-67.5pt;margin-top:14.85pt;width:584.1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sKRwIAAIQ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" fillcolor="#069" stroked="f" strokeweight=".5pt">
                <v:textbox>
                  <w:txbxContent>
                    <w:p w14:paraId="6D4A47DF" w14:textId="084891A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B.2.6 </w:t>
                      </w:r>
                      <w:r w:rsidRPr="007121FB">
                        <w:rPr>
                          <w:rFonts w:ascii="Arial" w:hAnsi="Arial" w:cs="Arial"/>
                          <w:color w:val="FFFFFF" w:themeColor="background1"/>
                          <w:sz w:val="32"/>
                          <w:szCs w:val="32"/>
                        </w:rPr>
                        <w:t>Large user volume charge per cubic meter or kg of trade effluent</w:t>
                      </w:r>
                    </w:p>
                  </w:txbxContent>
                </v:textbox>
              </v:shape>
            </w:pict>
          </mc:Fallback>
        </mc:AlternateContent>
      </w:r>
    </w:p>
    <w:p w14:paraId="07FF6ECC" w14:textId="0D1C68F9" w:rsidR="007121FB" w:rsidRDefault="007121FB" w:rsidP="007121FB">
      <w:pPr>
        <w:rPr>
          <w:rFonts w:ascii="Arial" w:hAnsi="Arial" w:cs="Arial"/>
        </w:rPr>
      </w:pPr>
    </w:p>
    <w:p w14:paraId="15F3C172" w14:textId="77777777" w:rsidR="007121FB" w:rsidRDefault="007121FB" w:rsidP="007121FB">
      <w:pPr>
        <w:rPr>
          <w:rFonts w:ascii="Arial" w:hAnsi="Arial" w:cs="Arial"/>
        </w:rPr>
      </w:pPr>
    </w:p>
    <w:tbl>
      <w:tblPr>
        <w:tblStyle w:val="TableGrid"/>
        <w:tblW w:w="0" w:type="auto"/>
        <w:tblLook w:val="04A0" w:firstRow="1" w:lastRow="0" w:firstColumn="1" w:lastColumn="0" w:noHBand="0" w:noVBand="1"/>
      </w:tblPr>
      <w:tblGrid>
        <w:gridCol w:w="4508"/>
        <w:gridCol w:w="4508"/>
      </w:tblGrid>
      <w:tr w:rsidR="007121FB" w14:paraId="1A0D2AA9" w14:textId="77777777" w:rsidTr="00E3085B">
        <w:trPr>
          <w:trHeight w:val="567"/>
        </w:trPr>
        <w:tc>
          <w:tcPr>
            <w:tcW w:w="4508" w:type="dxa"/>
            <w:shd w:val="clear" w:color="auto" w:fill="006699"/>
            <w:vAlign w:val="center"/>
          </w:tcPr>
          <w:p w14:paraId="052FFA7B" w14:textId="77777777" w:rsidR="007121FB" w:rsidRPr="00BF57F7" w:rsidRDefault="007121FB" w:rsidP="00E3085B">
            <w:pPr>
              <w:tabs>
                <w:tab w:val="left" w:pos="939"/>
              </w:tabs>
              <w:jc w:val="center"/>
              <w:rPr>
                <w:rFonts w:ascii="Arial" w:hAnsi="Arial" w:cs="Arial"/>
                <w:b/>
                <w:color w:val="FFFFFF" w:themeColor="background1"/>
              </w:rPr>
            </w:pPr>
            <w:r>
              <w:rPr>
                <w:rFonts w:ascii="Arial" w:hAnsi="Arial" w:cs="Arial"/>
                <w:b/>
                <w:color w:val="FFFFFF" w:themeColor="background1"/>
              </w:rPr>
              <w:t>Description</w:t>
            </w:r>
          </w:p>
        </w:tc>
        <w:tc>
          <w:tcPr>
            <w:tcW w:w="4508" w:type="dxa"/>
            <w:shd w:val="clear" w:color="auto" w:fill="006699"/>
            <w:vAlign w:val="center"/>
          </w:tcPr>
          <w:p w14:paraId="1CA8FD61" w14:textId="77777777" w:rsidR="007121FB" w:rsidRPr="00BF57F7" w:rsidRDefault="007121FB" w:rsidP="00E3085B">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7121FB" w14:paraId="21679D8F" w14:textId="77777777" w:rsidTr="00E3085B">
        <w:trPr>
          <w:trHeight w:val="567"/>
        </w:trPr>
        <w:tc>
          <w:tcPr>
            <w:tcW w:w="4508" w:type="dxa"/>
            <w:vAlign w:val="center"/>
          </w:tcPr>
          <w:p w14:paraId="062A669F" w14:textId="77777777" w:rsidR="007121FB" w:rsidRDefault="007121FB" w:rsidP="00E3085B">
            <w:pPr>
              <w:tabs>
                <w:tab w:val="left" w:pos="939"/>
              </w:tabs>
              <w:jc w:val="center"/>
              <w:rPr>
                <w:rFonts w:ascii="Arial" w:hAnsi="Arial" w:cs="Arial"/>
              </w:rPr>
            </w:pPr>
            <w:r>
              <w:rPr>
                <w:rFonts w:ascii="Arial" w:hAnsi="Arial" w:cs="Arial"/>
              </w:rPr>
              <w:t>Reception and Conveyance (R)</w:t>
            </w:r>
          </w:p>
        </w:tc>
        <w:tc>
          <w:tcPr>
            <w:tcW w:w="4508" w:type="dxa"/>
            <w:vAlign w:val="center"/>
          </w:tcPr>
          <w:p w14:paraId="23AF9158" w14:textId="57E0FE4F" w:rsidR="007121FB" w:rsidRDefault="007121FB" w:rsidP="004B4C72">
            <w:pPr>
              <w:tabs>
                <w:tab w:val="left" w:pos="939"/>
              </w:tabs>
              <w:jc w:val="center"/>
              <w:rPr>
                <w:rFonts w:ascii="Arial" w:hAnsi="Arial" w:cs="Arial"/>
              </w:rPr>
            </w:pPr>
            <w:r>
              <w:rPr>
                <w:rFonts w:ascii="Arial" w:hAnsi="Arial" w:cs="Arial"/>
              </w:rPr>
              <w:t>1</w:t>
            </w:r>
            <w:r w:rsidR="005A269C">
              <w:rPr>
                <w:rFonts w:ascii="Arial" w:hAnsi="Arial" w:cs="Arial"/>
              </w:rPr>
              <w:t>2</w:t>
            </w:r>
            <w:r>
              <w:rPr>
                <w:rFonts w:ascii="Arial" w:hAnsi="Arial" w:cs="Arial"/>
              </w:rPr>
              <w:t>.</w:t>
            </w:r>
            <w:r w:rsidR="005A3C37">
              <w:rPr>
                <w:rFonts w:ascii="Arial" w:hAnsi="Arial" w:cs="Arial"/>
              </w:rPr>
              <w:t>96</w:t>
            </w:r>
            <w:r>
              <w:rPr>
                <w:rFonts w:ascii="Arial" w:hAnsi="Arial" w:cs="Arial"/>
              </w:rPr>
              <w:t xml:space="preserve"> pence per m</w:t>
            </w:r>
            <w:r w:rsidRPr="00BF57F7">
              <w:rPr>
                <w:rFonts w:ascii="Arial" w:hAnsi="Arial" w:cs="Arial"/>
                <w:vertAlign w:val="superscript"/>
              </w:rPr>
              <w:t>3</w:t>
            </w:r>
          </w:p>
        </w:tc>
      </w:tr>
      <w:tr w:rsidR="007121FB" w14:paraId="0D2CF150" w14:textId="77777777" w:rsidTr="00E3085B">
        <w:trPr>
          <w:trHeight w:val="567"/>
        </w:trPr>
        <w:tc>
          <w:tcPr>
            <w:tcW w:w="4508" w:type="dxa"/>
            <w:vAlign w:val="center"/>
          </w:tcPr>
          <w:p w14:paraId="1F144075" w14:textId="77777777" w:rsidR="007121FB" w:rsidRDefault="007121FB" w:rsidP="00E3085B">
            <w:pPr>
              <w:tabs>
                <w:tab w:val="left" w:pos="939"/>
              </w:tabs>
              <w:jc w:val="center"/>
              <w:rPr>
                <w:rFonts w:ascii="Arial" w:hAnsi="Arial" w:cs="Arial"/>
              </w:rPr>
            </w:pPr>
            <w:r>
              <w:rPr>
                <w:rFonts w:ascii="Arial" w:hAnsi="Arial" w:cs="Arial"/>
              </w:rPr>
              <w:t>Primary Treatment (V)</w:t>
            </w:r>
          </w:p>
        </w:tc>
        <w:tc>
          <w:tcPr>
            <w:tcW w:w="4508" w:type="dxa"/>
            <w:vAlign w:val="center"/>
          </w:tcPr>
          <w:p w14:paraId="66F9833F" w14:textId="1D6702B6" w:rsidR="007121FB" w:rsidRDefault="004B4C72" w:rsidP="00E3085B">
            <w:pPr>
              <w:tabs>
                <w:tab w:val="left" w:pos="939"/>
              </w:tabs>
              <w:jc w:val="center"/>
              <w:rPr>
                <w:rFonts w:ascii="Arial" w:hAnsi="Arial" w:cs="Arial"/>
              </w:rPr>
            </w:pPr>
            <w:r>
              <w:rPr>
                <w:rFonts w:ascii="Arial" w:hAnsi="Arial" w:cs="Arial"/>
              </w:rPr>
              <w:t>14.</w:t>
            </w:r>
            <w:r w:rsidR="005A3C37">
              <w:rPr>
                <w:rFonts w:ascii="Arial" w:hAnsi="Arial" w:cs="Arial"/>
              </w:rPr>
              <w:t>96</w:t>
            </w:r>
            <w:r w:rsidR="007121FB">
              <w:rPr>
                <w:rFonts w:ascii="Arial" w:hAnsi="Arial" w:cs="Arial"/>
              </w:rPr>
              <w:t xml:space="preserve"> pence per m</w:t>
            </w:r>
            <w:r w:rsidR="007121FB" w:rsidRPr="00BF57F7">
              <w:rPr>
                <w:rFonts w:ascii="Arial" w:hAnsi="Arial" w:cs="Arial"/>
                <w:vertAlign w:val="superscript"/>
              </w:rPr>
              <w:t>3</w:t>
            </w:r>
          </w:p>
        </w:tc>
      </w:tr>
      <w:tr w:rsidR="007121FB" w14:paraId="1AB61E69" w14:textId="77777777" w:rsidTr="00E3085B">
        <w:trPr>
          <w:trHeight w:val="567"/>
        </w:trPr>
        <w:tc>
          <w:tcPr>
            <w:tcW w:w="4508" w:type="dxa"/>
            <w:vAlign w:val="center"/>
          </w:tcPr>
          <w:p w14:paraId="10325358" w14:textId="77777777" w:rsidR="007121FB" w:rsidRDefault="007121FB" w:rsidP="00E3085B">
            <w:pPr>
              <w:tabs>
                <w:tab w:val="left" w:pos="939"/>
              </w:tabs>
              <w:jc w:val="center"/>
              <w:rPr>
                <w:rFonts w:ascii="Arial" w:hAnsi="Arial" w:cs="Arial"/>
              </w:rPr>
            </w:pPr>
            <w:r>
              <w:rPr>
                <w:rFonts w:ascii="Arial" w:hAnsi="Arial" w:cs="Arial"/>
              </w:rPr>
              <w:t>Biological Treatment (B)</w:t>
            </w:r>
          </w:p>
        </w:tc>
        <w:tc>
          <w:tcPr>
            <w:tcW w:w="4508" w:type="dxa"/>
            <w:vAlign w:val="center"/>
          </w:tcPr>
          <w:p w14:paraId="75B4232B" w14:textId="25F0ABB5" w:rsidR="007121FB" w:rsidRDefault="004B4C72" w:rsidP="00E3085B">
            <w:pPr>
              <w:tabs>
                <w:tab w:val="left" w:pos="939"/>
              </w:tabs>
              <w:jc w:val="center"/>
              <w:rPr>
                <w:rFonts w:ascii="Arial" w:hAnsi="Arial" w:cs="Arial"/>
              </w:rPr>
            </w:pPr>
            <w:r>
              <w:rPr>
                <w:rFonts w:ascii="Arial" w:hAnsi="Arial" w:cs="Arial"/>
              </w:rPr>
              <w:t>1</w:t>
            </w:r>
            <w:r w:rsidR="005A3C37">
              <w:rPr>
                <w:rFonts w:ascii="Arial" w:hAnsi="Arial" w:cs="Arial"/>
              </w:rPr>
              <w:t>9.17</w:t>
            </w:r>
            <w:r w:rsidR="007121FB">
              <w:rPr>
                <w:rFonts w:ascii="Arial" w:hAnsi="Arial" w:cs="Arial"/>
              </w:rPr>
              <w:t xml:space="preserve"> pence per kg</w:t>
            </w:r>
          </w:p>
        </w:tc>
      </w:tr>
      <w:tr w:rsidR="007121FB" w14:paraId="6B1A5389" w14:textId="77777777" w:rsidTr="00E3085B">
        <w:trPr>
          <w:trHeight w:val="567"/>
        </w:trPr>
        <w:tc>
          <w:tcPr>
            <w:tcW w:w="4508" w:type="dxa"/>
            <w:vAlign w:val="center"/>
          </w:tcPr>
          <w:p w14:paraId="57B96A4D" w14:textId="77777777" w:rsidR="007121FB" w:rsidRDefault="007121FB" w:rsidP="00E3085B">
            <w:pPr>
              <w:tabs>
                <w:tab w:val="left" w:pos="939"/>
              </w:tabs>
              <w:jc w:val="center"/>
              <w:rPr>
                <w:rFonts w:ascii="Arial" w:hAnsi="Arial" w:cs="Arial"/>
              </w:rPr>
            </w:pPr>
            <w:r>
              <w:rPr>
                <w:rFonts w:ascii="Arial" w:hAnsi="Arial" w:cs="Arial"/>
              </w:rPr>
              <w:t>Solids Treatment (S)</w:t>
            </w:r>
          </w:p>
        </w:tc>
        <w:tc>
          <w:tcPr>
            <w:tcW w:w="4508" w:type="dxa"/>
            <w:vAlign w:val="center"/>
          </w:tcPr>
          <w:p w14:paraId="7F2FE2BC" w14:textId="40D60A00" w:rsidR="007121FB" w:rsidRDefault="00C22FD5" w:rsidP="00E3085B">
            <w:pPr>
              <w:tabs>
                <w:tab w:val="left" w:pos="939"/>
              </w:tabs>
              <w:jc w:val="center"/>
              <w:rPr>
                <w:rFonts w:ascii="Arial" w:hAnsi="Arial" w:cs="Arial"/>
              </w:rPr>
            </w:pPr>
            <w:r>
              <w:rPr>
                <w:rFonts w:ascii="Arial" w:hAnsi="Arial" w:cs="Arial"/>
              </w:rPr>
              <w:t>18.</w:t>
            </w:r>
            <w:r w:rsidR="005A3C37">
              <w:rPr>
                <w:rFonts w:ascii="Arial" w:hAnsi="Arial" w:cs="Arial"/>
              </w:rPr>
              <w:t>36</w:t>
            </w:r>
            <w:r w:rsidR="007121FB">
              <w:rPr>
                <w:rFonts w:ascii="Arial" w:hAnsi="Arial" w:cs="Arial"/>
              </w:rPr>
              <w:t xml:space="preserve"> pence per kg</w:t>
            </w:r>
          </w:p>
        </w:tc>
      </w:tr>
      <w:tr w:rsidR="00C22FD5" w14:paraId="5E770A5B" w14:textId="77777777" w:rsidTr="00E3085B">
        <w:trPr>
          <w:trHeight w:val="567"/>
        </w:trPr>
        <w:tc>
          <w:tcPr>
            <w:tcW w:w="4508" w:type="dxa"/>
            <w:vAlign w:val="center"/>
          </w:tcPr>
          <w:p w14:paraId="33B01FD6" w14:textId="154321C7" w:rsidR="00C22FD5" w:rsidRDefault="00C22FD5" w:rsidP="00E3085B">
            <w:pPr>
              <w:tabs>
                <w:tab w:val="left" w:pos="939"/>
              </w:tabs>
              <w:jc w:val="center"/>
              <w:rPr>
                <w:rFonts w:ascii="Arial" w:hAnsi="Arial" w:cs="Arial"/>
              </w:rPr>
            </w:pPr>
            <w:r>
              <w:rPr>
                <w:rFonts w:ascii="Arial" w:hAnsi="Arial" w:cs="Arial"/>
              </w:rPr>
              <w:t>Large User annual fixed charge</w:t>
            </w:r>
          </w:p>
        </w:tc>
        <w:tc>
          <w:tcPr>
            <w:tcW w:w="4508" w:type="dxa"/>
            <w:vAlign w:val="center"/>
          </w:tcPr>
          <w:p w14:paraId="06C2139C" w14:textId="1934A9C0" w:rsidR="00C22FD5" w:rsidRDefault="00C22FD5" w:rsidP="00E3085B">
            <w:pPr>
              <w:tabs>
                <w:tab w:val="left" w:pos="939"/>
              </w:tabs>
              <w:jc w:val="center"/>
              <w:rPr>
                <w:rFonts w:ascii="Arial" w:hAnsi="Arial" w:cs="Arial"/>
              </w:rPr>
            </w:pPr>
            <w:r>
              <w:rPr>
                <w:rFonts w:ascii="Arial" w:hAnsi="Arial" w:cs="Arial"/>
              </w:rPr>
              <w:t>£21,</w:t>
            </w:r>
            <w:r w:rsidR="009165AE">
              <w:rPr>
                <w:rFonts w:ascii="Arial" w:hAnsi="Arial" w:cs="Arial"/>
              </w:rPr>
              <w:t>556.86</w:t>
            </w:r>
          </w:p>
        </w:tc>
      </w:tr>
    </w:tbl>
    <w:p w14:paraId="3B7B531B" w14:textId="4E5A1E81" w:rsidR="007121FB" w:rsidRDefault="00DF3069" w:rsidP="00DF3069">
      <w:pPr>
        <w:tabs>
          <w:tab w:val="left" w:pos="1980"/>
        </w:tabs>
        <w:ind w:firstLine="720"/>
        <w:rPr>
          <w:rFonts w:ascii="Arial" w:hAnsi="Arial" w:cs="Arial"/>
        </w:rPr>
      </w:pPr>
      <w:r>
        <w:rPr>
          <w:rFonts w:ascii="Arial" w:hAnsi="Arial" w:cs="Arial"/>
          <w:b/>
          <w:noProof/>
          <w:sz w:val="24"/>
          <w:lang w:eastAsia="en-GB"/>
        </w:rPr>
        <mc:AlternateContent>
          <mc:Choice Requires="wps">
            <w:drawing>
              <wp:anchor distT="0" distB="0" distL="114300" distR="114300" simplePos="0" relativeHeight="251765760" behindDoc="0" locked="0" layoutInCell="1" allowOverlap="1" wp14:anchorId="482F93FB" wp14:editId="46A1E8CE">
                <wp:simplePos x="0" y="0"/>
                <wp:positionH relativeFrom="column">
                  <wp:posOffset>-857250</wp:posOffset>
                </wp:positionH>
                <wp:positionV relativeFrom="paragraph">
                  <wp:posOffset>311785</wp:posOffset>
                </wp:positionV>
                <wp:extent cx="7418070" cy="361666"/>
                <wp:effectExtent l="0" t="0" r="0" b="635"/>
                <wp:wrapNone/>
                <wp:docPr id="7" name="Text Box 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D0E3F20" w14:textId="426437AE" w:rsidR="007A7A0C" w:rsidRPr="004616F3" w:rsidRDefault="007A7A0C" w:rsidP="00DF3069">
                            <w:pPr>
                              <w:pStyle w:val="NoSpacing"/>
                              <w:rPr>
                                <w:rFonts w:ascii="Arial" w:hAnsi="Arial" w:cs="Arial"/>
                                <w:color w:val="FFFFFF" w:themeColor="background1"/>
                                <w:sz w:val="32"/>
                              </w:rPr>
                            </w:pPr>
                            <w:r>
                              <w:rPr>
                                <w:rFonts w:ascii="Arial" w:hAnsi="Arial" w:cs="Arial"/>
                                <w:color w:val="FFFFFF" w:themeColor="background1"/>
                                <w:sz w:val="32"/>
                              </w:rPr>
                              <w:t xml:space="preserve">B.2.7 </w:t>
                            </w:r>
                            <w:r>
                              <w:rPr>
                                <w:rFonts w:ascii="Arial" w:hAnsi="Arial" w:cs="Arial"/>
                                <w:color w:val="FFFFFF" w:themeColor="background1"/>
                                <w:sz w:val="32"/>
                                <w:szCs w:val="32"/>
                              </w:rPr>
                              <w:t>Calculated Discharges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93FB" id="Text Box 7" o:spid="_x0000_s1059" type="#_x0000_t202" style="position:absolute;left:0;text-align:left;margin-left:-67.5pt;margin-top:24.55pt;width:584.1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W/RwIAAII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" fillcolor="#069" stroked="f" strokeweight=".5pt">
                <v:textbox>
                  <w:txbxContent>
                    <w:p w14:paraId="7D0E3F20" w14:textId="426437AE" w:rsidR="007A7A0C" w:rsidRPr="004616F3" w:rsidRDefault="007A7A0C" w:rsidP="00DF3069">
                      <w:pPr>
                        <w:pStyle w:val="NoSpacing"/>
                        <w:rPr>
                          <w:rFonts w:ascii="Arial" w:hAnsi="Arial" w:cs="Arial"/>
                          <w:color w:val="FFFFFF" w:themeColor="background1"/>
                          <w:sz w:val="32"/>
                        </w:rPr>
                      </w:pPr>
                      <w:r>
                        <w:rPr>
                          <w:rFonts w:ascii="Arial" w:hAnsi="Arial" w:cs="Arial"/>
                          <w:color w:val="FFFFFF" w:themeColor="background1"/>
                          <w:sz w:val="32"/>
                        </w:rPr>
                        <w:t xml:space="preserve">B.2.7 </w:t>
                      </w:r>
                      <w:r>
                        <w:rPr>
                          <w:rFonts w:ascii="Arial" w:hAnsi="Arial" w:cs="Arial"/>
                          <w:color w:val="FFFFFF" w:themeColor="background1"/>
                          <w:sz w:val="32"/>
                          <w:szCs w:val="32"/>
                        </w:rPr>
                        <w:t>Calculated Discharges</w:t>
                      </w:r>
                    </w:p>
                  </w:txbxContent>
                </v:textbox>
              </v:shape>
            </w:pict>
          </mc:Fallback>
        </mc:AlternateContent>
      </w:r>
      <w:r>
        <w:rPr>
          <w:rFonts w:ascii="Arial" w:hAnsi="Arial" w:cs="Arial"/>
        </w:rPr>
        <w:tab/>
      </w:r>
    </w:p>
    <w:p w14:paraId="7466214B" w14:textId="0DAD59C9" w:rsidR="00DF3069" w:rsidRDefault="00DF3069" w:rsidP="00DF3069">
      <w:pPr>
        <w:tabs>
          <w:tab w:val="left" w:pos="1980"/>
        </w:tabs>
        <w:rPr>
          <w:rFonts w:ascii="Arial" w:hAnsi="Arial" w:cs="Arial"/>
        </w:rPr>
      </w:pPr>
    </w:p>
    <w:p w14:paraId="790E8EF4" w14:textId="77777777" w:rsidR="00DF3069" w:rsidRDefault="00DF3069" w:rsidP="00DF3069">
      <w:pPr>
        <w:tabs>
          <w:tab w:val="left" w:pos="1980"/>
        </w:tabs>
        <w:rPr>
          <w:rFonts w:ascii="Arial" w:hAnsi="Arial" w:cs="Arial"/>
        </w:rPr>
      </w:pPr>
    </w:p>
    <w:p w14:paraId="1AE6EDBD" w14:textId="77777777" w:rsidR="00DF3069" w:rsidRDefault="00DF3069" w:rsidP="00E3085B">
      <w:pPr>
        <w:rPr>
          <w:rFonts w:ascii="Arial" w:hAnsi="Arial" w:cs="Arial"/>
        </w:rPr>
      </w:pPr>
      <w:r w:rsidRPr="00DF3069">
        <w:rPr>
          <w:rFonts w:ascii="Arial" w:hAnsi="Arial" w:cs="Arial"/>
        </w:rPr>
        <w:t xml:space="preserve">In the absence of any direct or indirect measurement of trade effluent volumes discharged by the non-household customer, the Trade Effluent volumes shall be assessed in accordance with the Trade Effluent Consent or otherwise in agreement with the </w:t>
      </w:r>
      <w:proofErr w:type="spellStart"/>
      <w:r w:rsidRPr="00DF3069">
        <w:rPr>
          <w:rFonts w:ascii="Arial" w:hAnsi="Arial" w:cs="Arial"/>
        </w:rPr>
        <w:t>nonhousehold</w:t>
      </w:r>
      <w:proofErr w:type="spellEnd"/>
      <w:r w:rsidRPr="00DF3069">
        <w:rPr>
          <w:rFonts w:ascii="Arial" w:hAnsi="Arial" w:cs="Arial"/>
        </w:rPr>
        <w:t xml:space="preserve"> customer. This agreed volume of Trade Effluent discharge may be entered as a calculated discharge.</w:t>
      </w:r>
    </w:p>
    <w:p w14:paraId="022D9FA8" w14:textId="77777777" w:rsidR="00DF3069" w:rsidRDefault="00DF3069" w:rsidP="00E3085B">
      <w:pPr>
        <w:rPr>
          <w:rFonts w:ascii="Arial" w:hAnsi="Arial" w:cs="Arial"/>
        </w:rPr>
      </w:pPr>
      <w:r w:rsidRPr="00DF3069">
        <w:rPr>
          <w:rFonts w:ascii="Arial" w:hAnsi="Arial" w:cs="Arial"/>
        </w:rPr>
        <w:t xml:space="preserve">If the non-household customer is consented for the discharge of contaminated surface water and the volume is not metered, we will calculate a discharge volume based on average rainfall over the contaminated surface area as a calculated discharge. </w:t>
      </w:r>
    </w:p>
    <w:p w14:paraId="0E99945D" w14:textId="7FA1EDD2" w:rsidR="00E3085B" w:rsidRPr="00DF3069" w:rsidRDefault="00DF3069" w:rsidP="00E3085B">
      <w:pPr>
        <w:rPr>
          <w:rFonts w:ascii="Arial" w:hAnsi="Arial" w:cs="Arial"/>
        </w:rPr>
      </w:pPr>
      <w:r w:rsidRPr="00DF3069">
        <w:rPr>
          <w:rFonts w:ascii="Arial" w:hAnsi="Arial" w:cs="Arial"/>
        </w:rPr>
        <w:t>If an installed private trade effluent meter does not have the capacity to record a continuous index read but does measure a total volume of trade effluent discharged, the meter, where necessary, will be registered in the market as a calculated discharge. This will require you to submit these trade effluent volumes as calculated discharge volumes at the submission frequency specified by us.</w:t>
      </w:r>
    </w:p>
    <w:p w14:paraId="5DCCFB92" w14:textId="2B52A801" w:rsidR="00DF3069" w:rsidRDefault="00DF3069" w:rsidP="00E3085B">
      <w:pPr>
        <w:rPr>
          <w:rFonts w:ascii="Arial" w:hAnsi="Arial" w:cs="Arial"/>
        </w:rPr>
      </w:pPr>
    </w:p>
    <w:p w14:paraId="1D03FC25" w14:textId="77777777" w:rsidR="00DF3069" w:rsidRDefault="00DF3069" w:rsidP="00E3085B">
      <w:pPr>
        <w:rPr>
          <w:rFonts w:ascii="Arial" w:hAnsi="Arial" w:cs="Arial"/>
        </w:rPr>
      </w:pPr>
    </w:p>
    <w:p w14:paraId="60AAB742" w14:textId="104555F7" w:rsidR="00DF3069" w:rsidRDefault="00DF3069" w:rsidP="00E3085B">
      <w:pPr>
        <w:rPr>
          <w:rFonts w:ascii="Arial" w:hAnsi="Arial" w:cs="Arial"/>
        </w:rPr>
      </w:pPr>
    </w:p>
    <w:p w14:paraId="5F237E8F" w14:textId="77777777" w:rsidR="00DF3069" w:rsidRDefault="00DF3069" w:rsidP="00E3085B">
      <w:pPr>
        <w:rPr>
          <w:rFonts w:ascii="Arial" w:hAnsi="Arial" w:cs="Arial"/>
        </w:rPr>
      </w:pPr>
    </w:p>
    <w:p w14:paraId="4528A1D0" w14:textId="410E5D71" w:rsidR="00DF3069" w:rsidRDefault="00DF3069" w:rsidP="00E3085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5040" behindDoc="0" locked="0" layoutInCell="1" allowOverlap="1" wp14:anchorId="1CB093C0" wp14:editId="6A6FFA13">
                <wp:simplePos x="0" y="0"/>
                <wp:positionH relativeFrom="column">
                  <wp:posOffset>-857250</wp:posOffset>
                </wp:positionH>
                <wp:positionV relativeFrom="paragraph">
                  <wp:posOffset>243840</wp:posOffset>
                </wp:positionV>
                <wp:extent cx="7418070" cy="361666"/>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4DD781F" w14:textId="67F851E1"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B.2.8 </w:t>
                            </w:r>
                            <w:r>
                              <w:rPr>
                                <w:rFonts w:ascii="Arial" w:hAnsi="Arial" w:cs="Arial"/>
                                <w:color w:val="FFFFFF" w:themeColor="background1"/>
                                <w:sz w:val="32"/>
                                <w:szCs w:val="32"/>
                              </w:rPr>
                              <w:t>Infrastructure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93C0" id="Text Box 33" o:spid="_x0000_s1060" type="#_x0000_t202" style="position:absolute;margin-left:-67.5pt;margin-top:19.2pt;width:584.1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fnRwIAAIQ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" fillcolor="#069" stroked="f" strokeweight=".5pt">
                <v:textbox>
                  <w:txbxContent>
                    <w:p w14:paraId="34DD781F" w14:textId="67F851E1"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B.2.8 </w:t>
                      </w:r>
                      <w:r>
                        <w:rPr>
                          <w:rFonts w:ascii="Arial" w:hAnsi="Arial" w:cs="Arial"/>
                          <w:color w:val="FFFFFF" w:themeColor="background1"/>
                          <w:sz w:val="32"/>
                          <w:szCs w:val="32"/>
                        </w:rPr>
                        <w:t>Infrastructure charges</w:t>
                      </w:r>
                    </w:p>
                  </w:txbxContent>
                </v:textbox>
              </v:shape>
            </w:pict>
          </mc:Fallback>
        </mc:AlternateContent>
      </w:r>
    </w:p>
    <w:p w14:paraId="6BB2D113" w14:textId="460BA955" w:rsidR="00DF3069" w:rsidRDefault="00DF3069" w:rsidP="00E3085B">
      <w:pPr>
        <w:rPr>
          <w:rFonts w:ascii="Arial" w:hAnsi="Arial" w:cs="Arial"/>
        </w:rPr>
      </w:pPr>
    </w:p>
    <w:p w14:paraId="486BFD37" w14:textId="77777777" w:rsidR="00DF3069" w:rsidRDefault="00DF3069" w:rsidP="00E3085B">
      <w:pPr>
        <w:rPr>
          <w:rFonts w:ascii="Arial" w:hAnsi="Arial" w:cs="Arial"/>
        </w:rPr>
      </w:pPr>
    </w:p>
    <w:p w14:paraId="009458EA" w14:textId="4D8F3798" w:rsidR="00E3085B" w:rsidRDefault="00E3085B" w:rsidP="00E3085B">
      <w:pPr>
        <w:rPr>
          <w:rFonts w:ascii="Arial" w:hAnsi="Arial" w:cs="Arial"/>
        </w:rPr>
      </w:pPr>
      <w:r w:rsidRPr="00E3085B">
        <w:rPr>
          <w:rFonts w:ascii="Arial" w:hAnsi="Arial" w:cs="Arial"/>
        </w:rPr>
        <w:t>For the infrastructure charges please refer to the charges published on our website.</w:t>
      </w:r>
    </w:p>
    <w:p w14:paraId="0A5497F1" w14:textId="0C7F7F38" w:rsidR="00E3085B" w:rsidRDefault="00E3085B" w:rsidP="00E3085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7088" behindDoc="0" locked="0" layoutInCell="1" allowOverlap="1" wp14:anchorId="717E971A" wp14:editId="1C570323">
                <wp:simplePos x="0" y="0"/>
                <wp:positionH relativeFrom="column">
                  <wp:posOffset>-857250</wp:posOffset>
                </wp:positionH>
                <wp:positionV relativeFrom="paragraph">
                  <wp:posOffset>140970</wp:posOffset>
                </wp:positionV>
                <wp:extent cx="7418070" cy="361666"/>
                <wp:effectExtent l="0" t="0" r="0" b="635"/>
                <wp:wrapNone/>
                <wp:docPr id="34" name="Text Box 3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2B7C4BE" w14:textId="149372F5"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B.2.9 </w:t>
                            </w:r>
                            <w:r>
                              <w:rPr>
                                <w:rFonts w:ascii="Arial" w:hAnsi="Arial" w:cs="Arial"/>
                                <w:color w:val="FFFFFF" w:themeColor="background1"/>
                                <w:sz w:val="32"/>
                                <w:szCs w:val="32"/>
                              </w:rPr>
                              <w:t>Wholesale connection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E971A" id="Text Box 34" o:spid="_x0000_s1061" type="#_x0000_t202" style="position:absolute;margin-left:-67.5pt;margin-top:11.1pt;width:584.1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" fillcolor="#069" stroked="f" strokeweight=".5pt">
                <v:textbox>
                  <w:txbxContent>
                    <w:p w14:paraId="42B7C4BE" w14:textId="149372F5"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B.2.9 </w:t>
                      </w:r>
                      <w:r>
                        <w:rPr>
                          <w:rFonts w:ascii="Arial" w:hAnsi="Arial" w:cs="Arial"/>
                          <w:color w:val="FFFFFF" w:themeColor="background1"/>
                          <w:sz w:val="32"/>
                          <w:szCs w:val="32"/>
                        </w:rPr>
                        <w:t>Wholesale connection charges</w:t>
                      </w:r>
                    </w:p>
                  </w:txbxContent>
                </v:textbox>
              </v:shape>
            </w:pict>
          </mc:Fallback>
        </mc:AlternateContent>
      </w:r>
    </w:p>
    <w:p w14:paraId="728A67A9" w14:textId="65BCA78E" w:rsidR="00E3085B" w:rsidRDefault="00E3085B" w:rsidP="00E3085B">
      <w:pPr>
        <w:rPr>
          <w:rFonts w:ascii="Arial" w:hAnsi="Arial" w:cs="Arial"/>
        </w:rPr>
      </w:pPr>
    </w:p>
    <w:p w14:paraId="1174D592" w14:textId="4A31F37E" w:rsidR="00E3085B" w:rsidRDefault="00E3085B" w:rsidP="00E3085B">
      <w:pPr>
        <w:rPr>
          <w:rFonts w:ascii="Arial" w:hAnsi="Arial" w:cs="Arial"/>
        </w:rPr>
      </w:pPr>
    </w:p>
    <w:p w14:paraId="7956FE1D" w14:textId="1056FA5F" w:rsidR="00E3085B" w:rsidRDefault="00E3085B" w:rsidP="00E3085B">
      <w:pPr>
        <w:rPr>
          <w:rFonts w:ascii="Arial" w:hAnsi="Arial" w:cs="Arial"/>
        </w:rPr>
      </w:pPr>
      <w:r w:rsidRPr="00E3085B">
        <w:rPr>
          <w:rFonts w:ascii="Arial" w:hAnsi="Arial" w:cs="Arial"/>
        </w:rPr>
        <w:t xml:space="preserve">You can find the charges for the </w:t>
      </w:r>
      <w:r w:rsidRPr="006A1DF8">
        <w:rPr>
          <w:rFonts w:ascii="Arial" w:hAnsi="Arial" w:cs="Arial"/>
        </w:rPr>
        <w:t>provision of water main, connection of a service pipe to one of our mains,</w:t>
      </w:r>
      <w:r w:rsidRPr="00E3085B">
        <w:rPr>
          <w:rFonts w:ascii="Arial" w:hAnsi="Arial" w:cs="Arial"/>
        </w:rPr>
        <w:t xml:space="preserve"> drain or sewer communication with our public sewers and provision of a lateral drain, in the </w:t>
      </w:r>
      <w:r>
        <w:rPr>
          <w:rFonts w:ascii="Arial" w:hAnsi="Arial" w:cs="Arial"/>
        </w:rPr>
        <w:t>c</w:t>
      </w:r>
      <w:r w:rsidRPr="00E3085B">
        <w:rPr>
          <w:rFonts w:ascii="Arial" w:hAnsi="Arial" w:cs="Arial"/>
        </w:rPr>
        <w:t>harging arrangements for new connection services document published on our website</w:t>
      </w:r>
      <w:r w:rsidR="00C22FD5">
        <w:rPr>
          <w:rFonts w:ascii="Arial" w:hAnsi="Arial" w:cs="Arial"/>
        </w:rPr>
        <w:t>.</w:t>
      </w:r>
    </w:p>
    <w:p w14:paraId="0F981C32" w14:textId="597E68A7" w:rsidR="007C6037" w:rsidRDefault="007C6037" w:rsidP="00E3085B">
      <w:pPr>
        <w:rPr>
          <w:rFonts w:ascii="Arial" w:hAnsi="Arial" w:cs="Arial"/>
        </w:rPr>
      </w:pPr>
    </w:p>
    <w:p w14:paraId="6181BB3D" w14:textId="3CECD063" w:rsidR="00DF3069" w:rsidRDefault="00DF3069">
      <w:pPr>
        <w:rPr>
          <w:rFonts w:ascii="Arial" w:hAnsi="Arial" w:cs="Arial"/>
        </w:rPr>
      </w:pPr>
      <w:r>
        <w:rPr>
          <w:rFonts w:ascii="Arial" w:hAnsi="Arial" w:cs="Arial"/>
        </w:rPr>
        <w:br w:type="page"/>
      </w:r>
    </w:p>
    <w:p w14:paraId="44ADD7A4" w14:textId="0EE810F4" w:rsidR="007C6037" w:rsidRDefault="007C6037" w:rsidP="00E3085B">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39136" behindDoc="0" locked="0" layoutInCell="1" allowOverlap="1" wp14:anchorId="3803051F" wp14:editId="2A4042EF">
                <wp:simplePos x="0" y="0"/>
                <wp:positionH relativeFrom="column">
                  <wp:posOffset>-847725</wp:posOffset>
                </wp:positionH>
                <wp:positionV relativeFrom="paragraph">
                  <wp:posOffset>-635</wp:posOffset>
                </wp:positionV>
                <wp:extent cx="7418070" cy="361666"/>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5576B28" w14:textId="6920158F"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Part C: Non-primary charges scheme and schedule</w:t>
                            </w:r>
                          </w:p>
                          <w:p w14:paraId="1B0C90F2" w14:textId="4758D104"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051F" id="Text Box 35" o:spid="_x0000_s1062" type="#_x0000_t202" style="position:absolute;margin-left:-66.75pt;margin-top:-.05pt;width:584.1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" fillcolor="#069" stroked="f" strokeweight=".5pt">
                <v:textbox>
                  <w:txbxContent>
                    <w:p w14:paraId="35576B28" w14:textId="6920158F"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Part C: Non-primary charges scheme and schedule</w:t>
                      </w:r>
                    </w:p>
                    <w:p w14:paraId="1B0C90F2" w14:textId="4758D104"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77DF19BC" w14:textId="2D4D86F7" w:rsidR="007C6037" w:rsidRDefault="007C6037" w:rsidP="007C6037">
      <w:pPr>
        <w:rPr>
          <w:rFonts w:ascii="Arial" w:hAnsi="Arial" w:cs="Arial"/>
        </w:rPr>
      </w:pPr>
    </w:p>
    <w:p w14:paraId="715D03B4" w14:textId="6A70483B" w:rsidR="007C6037" w:rsidRPr="006A1DF8" w:rsidRDefault="007C6037" w:rsidP="007C6037">
      <w:pPr>
        <w:rPr>
          <w:rFonts w:ascii="Arial" w:hAnsi="Arial" w:cs="Arial"/>
        </w:rPr>
      </w:pPr>
      <w:r w:rsidRPr="006A1DF8">
        <w:rPr>
          <w:rFonts w:ascii="Arial" w:hAnsi="Arial" w:cs="Arial"/>
        </w:rPr>
        <w:t>Non-primary tariffs normally relate to one off or discrete services which are delivered in addition to any primary tariffs outlined in Part B: Primary tariff schedule. This document sets out when charges will be applied to the services described in Part C, the tariffs we expect to charge, as well as conditions surrounding the delivery of each service. In addition to setting out tariffs that apply to our appointed services and those covered by the Wholesale Contract/Wholesale-Retail Code, we have also included details of tariffs that apply to additional services that we offer to retailers.</w:t>
      </w:r>
    </w:p>
    <w:p w14:paraId="4F9E82D4" w14:textId="708FEF13" w:rsidR="007C6037" w:rsidRDefault="0017465E" w:rsidP="007C603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1184" behindDoc="0" locked="0" layoutInCell="1" allowOverlap="1" wp14:anchorId="3A3C4B1B" wp14:editId="618BBA9A">
                <wp:simplePos x="0" y="0"/>
                <wp:positionH relativeFrom="column">
                  <wp:posOffset>-847725</wp:posOffset>
                </wp:positionH>
                <wp:positionV relativeFrom="paragraph">
                  <wp:posOffset>16510</wp:posOffset>
                </wp:positionV>
                <wp:extent cx="7418070" cy="361666"/>
                <wp:effectExtent l="0" t="0" r="0" b="635"/>
                <wp:wrapNone/>
                <wp:docPr id="36" name="Text Box 3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F0DF1F5" w14:textId="5D9D209C"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C.1.0 </w:t>
                            </w:r>
                            <w:r w:rsidRPr="007C6037">
                              <w:rPr>
                                <w:rFonts w:ascii="Arial" w:hAnsi="Arial" w:cs="Arial"/>
                                <w:color w:val="FFFFFF" w:themeColor="background1"/>
                                <w:sz w:val="32"/>
                                <w:szCs w:val="32"/>
                              </w:rPr>
                              <w:t>Maintaining existing supply point data</w:t>
                            </w:r>
                          </w:p>
                          <w:p w14:paraId="25080FE9" w14:textId="77777777"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4B1B" id="Text Box 36" o:spid="_x0000_s1063" type="#_x0000_t202" style="position:absolute;margin-left:-66.75pt;margin-top:1.3pt;width:584.1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" fillcolor="#069" stroked="f" strokeweight=".5pt">
                <v:textbox>
                  <w:txbxContent>
                    <w:p w14:paraId="0F0DF1F5" w14:textId="5D9D209C"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C.1.0 </w:t>
                      </w:r>
                      <w:r w:rsidRPr="007C6037">
                        <w:rPr>
                          <w:rFonts w:ascii="Arial" w:hAnsi="Arial" w:cs="Arial"/>
                          <w:color w:val="FFFFFF" w:themeColor="background1"/>
                          <w:sz w:val="32"/>
                          <w:szCs w:val="32"/>
                        </w:rPr>
                        <w:t>Maintaining existing supply point data</w:t>
                      </w:r>
                    </w:p>
                    <w:p w14:paraId="25080FE9" w14:textId="77777777"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59BC3DD1" w14:textId="259C603B" w:rsidR="007C6037" w:rsidRPr="007C6037" w:rsidRDefault="007C6037" w:rsidP="007C6037">
      <w:pPr>
        <w:rPr>
          <w:rFonts w:ascii="Arial" w:hAnsi="Arial" w:cs="Arial"/>
        </w:rPr>
      </w:pPr>
    </w:p>
    <w:p w14:paraId="2199ADC8" w14:textId="71C7F4FE" w:rsidR="007C6037" w:rsidRDefault="007C6037" w:rsidP="007C6037">
      <w:pPr>
        <w:rPr>
          <w:rFonts w:ascii="Arial" w:hAnsi="Arial" w:cs="Arial"/>
        </w:rPr>
      </w:pPr>
      <w:r w:rsidRPr="006A1DF8">
        <w:rPr>
          <w:rFonts w:ascii="Arial" w:hAnsi="Arial" w:cs="Arial"/>
        </w:rPr>
        <w:t>We maintain supply point data within the market registration system</w:t>
      </w:r>
      <w:r w:rsidRPr="007C6037">
        <w:rPr>
          <w:rFonts w:ascii="Arial" w:hAnsi="Arial" w:cs="Arial"/>
        </w:rPr>
        <w:t xml:space="preserve"> and where we are the data owner, we can make any changes that are identified. You can inform us that you believe a change is needed to the market data and we will investigate in line with the conditions set out below. We will charge you and you will be liable to us for that charge, for a desktop analysis and/or a survey charge, to investigate whether the market data needs to be changed in the market registration system. If we conclude our investigations and the market data is found to be inaccurately registered in the market registration system, no charge will apply.</w:t>
      </w:r>
    </w:p>
    <w:p w14:paraId="3A706485" w14:textId="07D68196" w:rsidR="007C6037" w:rsidRDefault="0017465E" w:rsidP="007C603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3232" behindDoc="0" locked="0" layoutInCell="1" allowOverlap="1" wp14:anchorId="5A9C4371" wp14:editId="5B086894">
                <wp:simplePos x="0" y="0"/>
                <wp:positionH relativeFrom="column">
                  <wp:posOffset>-847725</wp:posOffset>
                </wp:positionH>
                <wp:positionV relativeFrom="paragraph">
                  <wp:posOffset>3175</wp:posOffset>
                </wp:positionV>
                <wp:extent cx="7418070" cy="361666"/>
                <wp:effectExtent l="0" t="0" r="0" b="635"/>
                <wp:wrapNone/>
                <wp:docPr id="37" name="Text Box 3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4CD278C" w14:textId="32DD49D1"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C.1.1 </w:t>
                            </w:r>
                            <w:r w:rsidRPr="007C6037">
                              <w:rPr>
                                <w:rFonts w:ascii="Arial" w:hAnsi="Arial" w:cs="Arial"/>
                                <w:color w:val="FFFFFF" w:themeColor="background1"/>
                                <w:sz w:val="32"/>
                                <w:szCs w:val="32"/>
                              </w:rPr>
                              <w:t>Maintaining existing supply point data</w:t>
                            </w:r>
                            <w:r>
                              <w:rPr>
                                <w:rFonts w:ascii="Arial" w:hAnsi="Arial" w:cs="Arial"/>
                                <w:color w:val="FFFFFF" w:themeColor="background1"/>
                                <w:sz w:val="32"/>
                                <w:szCs w:val="32"/>
                              </w:rPr>
                              <w:t xml:space="preserve"> tariffs</w:t>
                            </w:r>
                          </w:p>
                          <w:p w14:paraId="4D72E88C" w14:textId="77777777"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4371" id="Text Box 37" o:spid="_x0000_s1064" type="#_x0000_t202" style="position:absolute;margin-left:-66.75pt;margin-top:.25pt;width:584.1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" fillcolor="#069" stroked="f" strokeweight=".5pt">
                <v:textbox>
                  <w:txbxContent>
                    <w:p w14:paraId="04CD278C" w14:textId="32DD49D1"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C.1.1 </w:t>
                      </w:r>
                      <w:r w:rsidRPr="007C6037">
                        <w:rPr>
                          <w:rFonts w:ascii="Arial" w:hAnsi="Arial" w:cs="Arial"/>
                          <w:color w:val="FFFFFF" w:themeColor="background1"/>
                          <w:sz w:val="32"/>
                          <w:szCs w:val="32"/>
                        </w:rPr>
                        <w:t>Maintaining existing supply point data</w:t>
                      </w:r>
                      <w:r>
                        <w:rPr>
                          <w:rFonts w:ascii="Arial" w:hAnsi="Arial" w:cs="Arial"/>
                          <w:color w:val="FFFFFF" w:themeColor="background1"/>
                          <w:sz w:val="32"/>
                          <w:szCs w:val="32"/>
                        </w:rPr>
                        <w:t xml:space="preserve"> tariffs</w:t>
                      </w:r>
                    </w:p>
                    <w:p w14:paraId="4D72E88C" w14:textId="77777777"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1933918B" w14:textId="6A632FA6" w:rsidR="007C6037" w:rsidRDefault="007C6037" w:rsidP="007C6037">
      <w:pPr>
        <w:rPr>
          <w:rFonts w:ascii="Arial" w:hAnsi="Arial" w:cs="Arial"/>
        </w:rPr>
      </w:pPr>
    </w:p>
    <w:tbl>
      <w:tblPr>
        <w:tblStyle w:val="TableGrid"/>
        <w:tblW w:w="10348" w:type="dxa"/>
        <w:tblInd w:w="-572" w:type="dxa"/>
        <w:tblLook w:val="04A0" w:firstRow="1" w:lastRow="0" w:firstColumn="1" w:lastColumn="0" w:noHBand="0" w:noVBand="1"/>
      </w:tblPr>
      <w:tblGrid>
        <w:gridCol w:w="4253"/>
        <w:gridCol w:w="3118"/>
        <w:gridCol w:w="2977"/>
      </w:tblGrid>
      <w:tr w:rsidR="007C6037" w14:paraId="02ACC188" w14:textId="52A09CF2" w:rsidTr="007C6037">
        <w:trPr>
          <w:trHeight w:val="567"/>
        </w:trPr>
        <w:tc>
          <w:tcPr>
            <w:tcW w:w="4253" w:type="dxa"/>
            <w:shd w:val="clear" w:color="auto" w:fill="006699"/>
            <w:vAlign w:val="center"/>
          </w:tcPr>
          <w:p w14:paraId="69149B23" w14:textId="0799BB08" w:rsidR="007C6037" w:rsidRPr="00BF57F7" w:rsidRDefault="007C6037" w:rsidP="007C6037">
            <w:pPr>
              <w:tabs>
                <w:tab w:val="left" w:pos="939"/>
              </w:tabs>
              <w:rPr>
                <w:rFonts w:ascii="Arial" w:hAnsi="Arial" w:cs="Arial"/>
                <w:b/>
                <w:color w:val="FFFFFF" w:themeColor="background1"/>
              </w:rPr>
            </w:pPr>
            <w:r>
              <w:rPr>
                <w:rFonts w:ascii="Arial" w:hAnsi="Arial" w:cs="Arial"/>
                <w:b/>
                <w:color w:val="FFFFFF" w:themeColor="background1"/>
              </w:rPr>
              <w:t>Service</w:t>
            </w:r>
          </w:p>
        </w:tc>
        <w:tc>
          <w:tcPr>
            <w:tcW w:w="3118" w:type="dxa"/>
            <w:shd w:val="clear" w:color="auto" w:fill="006699"/>
            <w:vAlign w:val="center"/>
          </w:tcPr>
          <w:p w14:paraId="56908E37" w14:textId="75A9E5A0" w:rsidR="007C6037" w:rsidRPr="00BF57F7" w:rsidRDefault="007C6037" w:rsidP="007C6037">
            <w:pPr>
              <w:tabs>
                <w:tab w:val="left" w:pos="939"/>
              </w:tabs>
              <w:jc w:val="center"/>
              <w:rPr>
                <w:rFonts w:ascii="Arial" w:hAnsi="Arial" w:cs="Arial"/>
                <w:b/>
                <w:color w:val="FFFFFF" w:themeColor="background1"/>
              </w:rPr>
            </w:pPr>
            <w:r>
              <w:rPr>
                <w:rFonts w:ascii="Arial" w:hAnsi="Arial" w:cs="Arial"/>
                <w:b/>
                <w:color w:val="FFFFFF" w:themeColor="background1"/>
              </w:rPr>
              <w:t>Desktop analysis</w:t>
            </w:r>
          </w:p>
        </w:tc>
        <w:tc>
          <w:tcPr>
            <w:tcW w:w="2977" w:type="dxa"/>
            <w:shd w:val="clear" w:color="auto" w:fill="006699"/>
            <w:vAlign w:val="center"/>
          </w:tcPr>
          <w:p w14:paraId="76B1E3FA" w14:textId="7E450933" w:rsidR="007C6037" w:rsidRDefault="007C6037" w:rsidP="007C6037">
            <w:pPr>
              <w:tabs>
                <w:tab w:val="left" w:pos="939"/>
              </w:tabs>
              <w:jc w:val="center"/>
              <w:rPr>
                <w:rFonts w:ascii="Arial" w:hAnsi="Arial" w:cs="Arial"/>
                <w:b/>
                <w:color w:val="FFFFFF" w:themeColor="background1"/>
              </w:rPr>
            </w:pPr>
            <w:r>
              <w:rPr>
                <w:rFonts w:ascii="Arial" w:hAnsi="Arial" w:cs="Arial"/>
                <w:b/>
                <w:color w:val="FFFFFF" w:themeColor="background1"/>
              </w:rPr>
              <w:t>Site survey</w:t>
            </w:r>
          </w:p>
        </w:tc>
      </w:tr>
      <w:tr w:rsidR="007C6037" w14:paraId="4AD52D08" w14:textId="2183D586" w:rsidTr="007C6037">
        <w:trPr>
          <w:trHeight w:val="567"/>
        </w:trPr>
        <w:tc>
          <w:tcPr>
            <w:tcW w:w="4253" w:type="dxa"/>
            <w:vAlign w:val="center"/>
          </w:tcPr>
          <w:p w14:paraId="388920F3" w14:textId="635DD342" w:rsidR="007C6037" w:rsidRDefault="007C6037" w:rsidP="007C6037">
            <w:pPr>
              <w:tabs>
                <w:tab w:val="left" w:pos="939"/>
              </w:tabs>
              <w:rPr>
                <w:rFonts w:ascii="Arial" w:hAnsi="Arial" w:cs="Arial"/>
              </w:rPr>
            </w:pPr>
            <w:r>
              <w:rPr>
                <w:rFonts w:ascii="Arial" w:hAnsi="Arial" w:cs="Arial"/>
              </w:rPr>
              <w:t>Maintaining existing supply point data</w:t>
            </w:r>
          </w:p>
        </w:tc>
        <w:tc>
          <w:tcPr>
            <w:tcW w:w="3118" w:type="dxa"/>
            <w:vAlign w:val="center"/>
          </w:tcPr>
          <w:p w14:paraId="7FC1DA00" w14:textId="6E6BBED9" w:rsidR="007C6037" w:rsidRDefault="007C6037" w:rsidP="00787200">
            <w:pPr>
              <w:tabs>
                <w:tab w:val="left" w:pos="939"/>
              </w:tabs>
              <w:jc w:val="center"/>
              <w:rPr>
                <w:rFonts w:ascii="Arial" w:hAnsi="Arial" w:cs="Arial"/>
              </w:rPr>
            </w:pPr>
            <w:r>
              <w:rPr>
                <w:rFonts w:ascii="Arial" w:hAnsi="Arial" w:cs="Arial"/>
              </w:rPr>
              <w:t>£</w:t>
            </w:r>
            <w:r w:rsidR="00A547F3">
              <w:rPr>
                <w:rFonts w:ascii="Arial" w:hAnsi="Arial" w:cs="Arial"/>
              </w:rPr>
              <w:t>5</w:t>
            </w:r>
            <w:r w:rsidR="00EA75B3">
              <w:rPr>
                <w:rFonts w:ascii="Arial" w:hAnsi="Arial" w:cs="Arial"/>
              </w:rPr>
              <w:t>2</w:t>
            </w:r>
          </w:p>
        </w:tc>
        <w:tc>
          <w:tcPr>
            <w:tcW w:w="2977" w:type="dxa"/>
            <w:vAlign w:val="center"/>
          </w:tcPr>
          <w:p w14:paraId="59A33824" w14:textId="1272EF3C" w:rsidR="007C6037" w:rsidRDefault="007C6037" w:rsidP="00787200">
            <w:pPr>
              <w:tabs>
                <w:tab w:val="left" w:pos="939"/>
              </w:tabs>
              <w:jc w:val="center"/>
              <w:rPr>
                <w:rFonts w:ascii="Arial" w:hAnsi="Arial" w:cs="Arial"/>
              </w:rPr>
            </w:pPr>
            <w:r>
              <w:rPr>
                <w:rFonts w:ascii="Arial" w:hAnsi="Arial" w:cs="Arial"/>
              </w:rPr>
              <w:t>£</w:t>
            </w:r>
            <w:r w:rsidR="00EA75B3">
              <w:rPr>
                <w:rFonts w:ascii="Arial" w:hAnsi="Arial" w:cs="Arial"/>
              </w:rPr>
              <w:t>110</w:t>
            </w:r>
          </w:p>
        </w:tc>
      </w:tr>
    </w:tbl>
    <w:p w14:paraId="53AA7183" w14:textId="77777777" w:rsidR="007C6037" w:rsidRDefault="007C6037" w:rsidP="007C6037">
      <w:pPr>
        <w:pStyle w:val="NoSpacing"/>
      </w:pPr>
    </w:p>
    <w:p w14:paraId="7A27EF4F" w14:textId="47A7C89F" w:rsidR="007C6037" w:rsidRDefault="007C6037" w:rsidP="007C6037">
      <w:pPr>
        <w:rPr>
          <w:rFonts w:ascii="Arial" w:hAnsi="Arial" w:cs="Arial"/>
        </w:rPr>
      </w:pPr>
      <w:r w:rsidRPr="007C6037">
        <w:rPr>
          <w:rFonts w:ascii="Arial" w:hAnsi="Arial" w:cs="Arial"/>
        </w:rPr>
        <w:t>Note: a request beyond the standard service may require a price on application</w:t>
      </w:r>
    </w:p>
    <w:p w14:paraId="763DDC02" w14:textId="77777777" w:rsidR="0017465E" w:rsidRDefault="0017465E" w:rsidP="0017465E">
      <w:pPr>
        <w:pStyle w:val="NoSpacing"/>
      </w:pPr>
    </w:p>
    <w:p w14:paraId="392FBF89" w14:textId="4B361E86" w:rsidR="0017465E" w:rsidRPr="0017465E" w:rsidRDefault="0017465E" w:rsidP="0017465E">
      <w:pPr>
        <w:rPr>
          <w:rFonts w:ascii="Arial" w:hAnsi="Arial" w:cs="Arial"/>
          <w:b/>
        </w:rPr>
      </w:pPr>
      <w:r w:rsidRPr="0017465E">
        <w:rPr>
          <w:rFonts w:ascii="Arial" w:hAnsi="Arial" w:cs="Arial"/>
          <w:b/>
        </w:rPr>
        <w:t xml:space="preserve">Appointments and cancellations </w:t>
      </w:r>
    </w:p>
    <w:p w14:paraId="0F89C49C" w14:textId="77777777" w:rsidR="0017465E" w:rsidRDefault="0017465E" w:rsidP="0017465E">
      <w:pPr>
        <w:rPr>
          <w:rFonts w:ascii="Arial" w:hAnsi="Arial" w:cs="Arial"/>
        </w:rPr>
      </w:pPr>
      <w:r w:rsidRPr="0017465E">
        <w:rPr>
          <w:rFonts w:ascii="Arial" w:hAnsi="Arial" w:cs="Arial"/>
        </w:rPr>
        <w:t xml:space="preserve">Site surveys and visits can normally be carried out without the need for appointments or the presence of the customer. If required, appointments will be arranged during the following working hours, excluding bank holidays and public holidays: </w:t>
      </w:r>
    </w:p>
    <w:p w14:paraId="55460EC7" w14:textId="7EE9E47C" w:rsidR="005004B4" w:rsidRPr="00613B8F" w:rsidRDefault="005004B4" w:rsidP="00613B8F">
      <w:pPr>
        <w:spacing w:after="0"/>
        <w:rPr>
          <w:rFonts w:ascii="Arial" w:hAnsi="Arial" w:cs="Arial"/>
        </w:rPr>
      </w:pPr>
      <w:r w:rsidRPr="00613B8F">
        <w:rPr>
          <w:rFonts w:ascii="Arial" w:hAnsi="Arial" w:cs="Arial"/>
        </w:rPr>
        <w:t>Monday – Friday, 8am – 8pm</w:t>
      </w:r>
    </w:p>
    <w:p w14:paraId="0620D429" w14:textId="320B8F45" w:rsidR="005004B4" w:rsidRPr="00613B8F" w:rsidRDefault="005004B4" w:rsidP="00613B8F">
      <w:pPr>
        <w:spacing w:after="0"/>
        <w:rPr>
          <w:rFonts w:ascii="Arial" w:hAnsi="Arial" w:cs="Arial"/>
        </w:rPr>
      </w:pPr>
      <w:r w:rsidRPr="00613B8F">
        <w:rPr>
          <w:rFonts w:ascii="Arial" w:hAnsi="Arial" w:cs="Arial"/>
        </w:rPr>
        <w:t>Saturday, 8am – 4pm</w:t>
      </w:r>
    </w:p>
    <w:p w14:paraId="635062F6" w14:textId="318B11F4" w:rsidR="00613B8F" w:rsidRDefault="00613B8F" w:rsidP="00613B8F">
      <w:pPr>
        <w:spacing w:after="0"/>
        <w:rPr>
          <w:rFonts w:ascii="Arial" w:hAnsi="Arial" w:cs="Arial"/>
        </w:rPr>
      </w:pPr>
      <w:r w:rsidRPr="00613B8F">
        <w:rPr>
          <w:rFonts w:ascii="Arial" w:hAnsi="Arial" w:cs="Arial"/>
        </w:rPr>
        <w:t>Sunday, 9am – 1pm</w:t>
      </w:r>
    </w:p>
    <w:p w14:paraId="05BB1483" w14:textId="77777777" w:rsidR="00613B8F" w:rsidRPr="00613B8F" w:rsidRDefault="00613B8F" w:rsidP="00613B8F">
      <w:pPr>
        <w:spacing w:after="0"/>
        <w:rPr>
          <w:rFonts w:ascii="Arial" w:hAnsi="Arial" w:cs="Arial"/>
        </w:rPr>
      </w:pPr>
    </w:p>
    <w:p w14:paraId="724412F0" w14:textId="75C039D3" w:rsidR="0017465E" w:rsidRPr="0017465E" w:rsidRDefault="0017465E" w:rsidP="0017465E">
      <w:pPr>
        <w:rPr>
          <w:rFonts w:ascii="Arial" w:hAnsi="Arial" w:cs="Arial"/>
        </w:rPr>
      </w:pPr>
      <w:r w:rsidRPr="006A1DF8">
        <w:rPr>
          <w:rFonts w:ascii="Arial" w:hAnsi="Arial" w:cs="Arial"/>
        </w:rPr>
        <w:t>Appointments outside our normal working hours can be scheduled at other times and these would need to be agreed and priced on application.</w:t>
      </w:r>
      <w:r w:rsidRPr="0017465E">
        <w:rPr>
          <w:rFonts w:ascii="Arial" w:hAnsi="Arial" w:cs="Arial"/>
        </w:rPr>
        <w:t xml:space="preserve"> </w:t>
      </w:r>
    </w:p>
    <w:p w14:paraId="7564D23A" w14:textId="77777777" w:rsidR="00A0219B" w:rsidRDefault="00A0219B" w:rsidP="0017465E">
      <w:pPr>
        <w:rPr>
          <w:rFonts w:ascii="Arial" w:hAnsi="Arial" w:cs="Arial"/>
          <w:b/>
        </w:rPr>
      </w:pPr>
    </w:p>
    <w:p w14:paraId="24B3B6D0" w14:textId="5906CFF5" w:rsidR="0017465E" w:rsidRPr="0017465E" w:rsidRDefault="0017465E" w:rsidP="0017465E">
      <w:pPr>
        <w:rPr>
          <w:rFonts w:ascii="Arial" w:hAnsi="Arial" w:cs="Arial"/>
          <w:b/>
        </w:rPr>
      </w:pPr>
      <w:r w:rsidRPr="0017465E">
        <w:rPr>
          <w:rFonts w:ascii="Arial" w:hAnsi="Arial" w:cs="Arial"/>
          <w:b/>
        </w:rPr>
        <w:t xml:space="preserve">Exclusions </w:t>
      </w:r>
    </w:p>
    <w:p w14:paraId="53987228" w14:textId="77777777" w:rsidR="00A0219B" w:rsidRDefault="0017465E" w:rsidP="00A0219B">
      <w:pPr>
        <w:rPr>
          <w:rFonts w:ascii="Arial" w:hAnsi="Arial" w:cs="Arial"/>
        </w:rPr>
      </w:pPr>
      <w:r w:rsidRPr="0017465E">
        <w:rPr>
          <w:rFonts w:ascii="Arial" w:hAnsi="Arial" w:cs="Arial"/>
        </w:rPr>
        <w:lastRenderedPageBreak/>
        <w:t>We can only update the market data if we are the data owners. Where we are not the owner and believe it to be incorrect, we will query the item with the owner, for example, another wholesaler.</w:t>
      </w:r>
    </w:p>
    <w:p w14:paraId="378C83E7" w14:textId="7E9274D1" w:rsidR="0017465E" w:rsidRDefault="0017465E" w:rsidP="00A0219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5280" behindDoc="0" locked="0" layoutInCell="1" allowOverlap="1" wp14:anchorId="13720AE8" wp14:editId="34F2DE0D">
                <wp:simplePos x="0" y="0"/>
                <wp:positionH relativeFrom="column">
                  <wp:posOffset>-847725</wp:posOffset>
                </wp:positionH>
                <wp:positionV relativeFrom="paragraph">
                  <wp:posOffset>-57150</wp:posOffset>
                </wp:positionV>
                <wp:extent cx="7418070" cy="361666"/>
                <wp:effectExtent l="0" t="0" r="0" b="635"/>
                <wp:wrapNone/>
                <wp:docPr id="39" name="Text Box 3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EC06E44" w14:textId="12B4A9D1" w:rsidR="007A7A0C" w:rsidRPr="004616F3" w:rsidRDefault="007A7A0C" w:rsidP="0017465E">
                            <w:pPr>
                              <w:pStyle w:val="NoSpacing"/>
                              <w:rPr>
                                <w:rFonts w:ascii="Arial" w:hAnsi="Arial" w:cs="Arial"/>
                                <w:color w:val="FFFFFF" w:themeColor="background1"/>
                                <w:sz w:val="32"/>
                              </w:rPr>
                            </w:pPr>
                            <w:r>
                              <w:rPr>
                                <w:rFonts w:ascii="Arial" w:hAnsi="Arial" w:cs="Arial"/>
                                <w:color w:val="FFFFFF" w:themeColor="background1"/>
                                <w:sz w:val="32"/>
                              </w:rPr>
                              <w:t xml:space="preserve">C.1.2 </w:t>
                            </w:r>
                            <w:r w:rsidRPr="0017465E">
                              <w:rPr>
                                <w:rFonts w:ascii="Arial" w:hAnsi="Arial" w:cs="Arial"/>
                                <w:color w:val="FFFFFF" w:themeColor="background1"/>
                                <w:sz w:val="32"/>
                              </w:rPr>
                              <w:t>Verifying meter details or supply arrangements</w:t>
                            </w:r>
                          </w:p>
                          <w:p w14:paraId="5752EA96" w14:textId="77777777" w:rsidR="007A7A0C" w:rsidRPr="004616F3" w:rsidRDefault="007A7A0C" w:rsidP="0017465E">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AE8" id="Text Box 39" o:spid="_x0000_s1065" type="#_x0000_t202" style="position:absolute;margin-left:-66.75pt;margin-top:-4.5pt;width:584.1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" fillcolor="#069" stroked="f" strokeweight=".5pt">
                <v:textbox>
                  <w:txbxContent>
                    <w:p w14:paraId="1EC06E44" w14:textId="12B4A9D1" w:rsidR="007A7A0C" w:rsidRPr="004616F3" w:rsidRDefault="007A7A0C" w:rsidP="0017465E">
                      <w:pPr>
                        <w:pStyle w:val="NoSpacing"/>
                        <w:rPr>
                          <w:rFonts w:ascii="Arial" w:hAnsi="Arial" w:cs="Arial"/>
                          <w:color w:val="FFFFFF" w:themeColor="background1"/>
                          <w:sz w:val="32"/>
                        </w:rPr>
                      </w:pPr>
                      <w:r>
                        <w:rPr>
                          <w:rFonts w:ascii="Arial" w:hAnsi="Arial" w:cs="Arial"/>
                          <w:color w:val="FFFFFF" w:themeColor="background1"/>
                          <w:sz w:val="32"/>
                        </w:rPr>
                        <w:t xml:space="preserve">C.1.2 </w:t>
                      </w:r>
                      <w:r w:rsidRPr="0017465E">
                        <w:rPr>
                          <w:rFonts w:ascii="Arial" w:hAnsi="Arial" w:cs="Arial"/>
                          <w:color w:val="FFFFFF" w:themeColor="background1"/>
                          <w:sz w:val="32"/>
                        </w:rPr>
                        <w:t>Verifying meter details or supply arrangements</w:t>
                      </w:r>
                    </w:p>
                    <w:p w14:paraId="5752EA96" w14:textId="77777777" w:rsidR="007A7A0C" w:rsidRPr="004616F3" w:rsidRDefault="007A7A0C" w:rsidP="0017465E">
                      <w:pPr>
                        <w:pStyle w:val="NoSpacing"/>
                        <w:rPr>
                          <w:rFonts w:ascii="Arial" w:hAnsi="Arial" w:cs="Arial"/>
                          <w:color w:val="FFFFFF" w:themeColor="background1"/>
                          <w:sz w:val="32"/>
                        </w:rPr>
                      </w:pPr>
                    </w:p>
                  </w:txbxContent>
                </v:textbox>
              </v:shape>
            </w:pict>
          </mc:Fallback>
        </mc:AlternateContent>
      </w:r>
    </w:p>
    <w:p w14:paraId="7180349F" w14:textId="77777777" w:rsidR="00A0219B" w:rsidRDefault="00A0219B" w:rsidP="00851F9D">
      <w:pPr>
        <w:rPr>
          <w:rFonts w:ascii="Arial" w:hAnsi="Arial" w:cs="Arial"/>
        </w:rPr>
      </w:pPr>
    </w:p>
    <w:p w14:paraId="7E51BC2D" w14:textId="37E1EE50" w:rsidR="00851F9D" w:rsidRDefault="00851F9D" w:rsidP="00851F9D">
      <w:pPr>
        <w:rPr>
          <w:rFonts w:ascii="Arial" w:hAnsi="Arial" w:cs="Arial"/>
        </w:rPr>
      </w:pPr>
      <w:r w:rsidRPr="006A1DF8">
        <w:rPr>
          <w:rFonts w:ascii="Arial" w:hAnsi="Arial" w:cs="Arial"/>
        </w:rPr>
        <w:t>We can verify meter asset details including location and meter supply arrangements upon request.</w:t>
      </w:r>
      <w:r w:rsidRPr="00851F9D">
        <w:rPr>
          <w:rFonts w:ascii="Arial" w:hAnsi="Arial" w:cs="Arial"/>
        </w:rPr>
        <w:t xml:space="preserve"> We will charge you and you will be liable to us for that charge, for a desktop analysis and/or a site survey charge, to investigate whether the market data are accurately registered. If we conclude our investigations and the market data is found to be inaccurately registered in the market registration system, no charge will apply.</w:t>
      </w:r>
    </w:p>
    <w:p w14:paraId="503F6268" w14:textId="77777777" w:rsidR="00851F9D" w:rsidRDefault="00851F9D" w:rsidP="00851F9D">
      <w:pPr>
        <w:pStyle w:val="NoSpacing"/>
      </w:pPr>
    </w:p>
    <w:tbl>
      <w:tblPr>
        <w:tblStyle w:val="TableGrid"/>
        <w:tblW w:w="10348" w:type="dxa"/>
        <w:tblInd w:w="-572" w:type="dxa"/>
        <w:tblLook w:val="04A0" w:firstRow="1" w:lastRow="0" w:firstColumn="1" w:lastColumn="0" w:noHBand="0" w:noVBand="1"/>
      </w:tblPr>
      <w:tblGrid>
        <w:gridCol w:w="4253"/>
        <w:gridCol w:w="3118"/>
        <w:gridCol w:w="2977"/>
      </w:tblGrid>
      <w:tr w:rsidR="00851F9D" w14:paraId="05AD318C" w14:textId="77777777" w:rsidTr="00851F9D">
        <w:trPr>
          <w:trHeight w:val="567"/>
        </w:trPr>
        <w:tc>
          <w:tcPr>
            <w:tcW w:w="4253" w:type="dxa"/>
            <w:shd w:val="clear" w:color="auto" w:fill="006699"/>
            <w:vAlign w:val="center"/>
          </w:tcPr>
          <w:p w14:paraId="6AD34E0A" w14:textId="77777777" w:rsidR="00851F9D" w:rsidRPr="00BF57F7" w:rsidRDefault="00851F9D" w:rsidP="00851F9D">
            <w:pPr>
              <w:tabs>
                <w:tab w:val="left" w:pos="939"/>
              </w:tabs>
              <w:rPr>
                <w:rFonts w:ascii="Arial" w:hAnsi="Arial" w:cs="Arial"/>
                <w:b/>
                <w:color w:val="FFFFFF" w:themeColor="background1"/>
              </w:rPr>
            </w:pPr>
            <w:r>
              <w:rPr>
                <w:rFonts w:ascii="Arial" w:hAnsi="Arial" w:cs="Arial"/>
                <w:b/>
                <w:color w:val="FFFFFF" w:themeColor="background1"/>
              </w:rPr>
              <w:t>Service</w:t>
            </w:r>
          </w:p>
        </w:tc>
        <w:tc>
          <w:tcPr>
            <w:tcW w:w="3118" w:type="dxa"/>
            <w:shd w:val="clear" w:color="auto" w:fill="006699"/>
            <w:vAlign w:val="center"/>
          </w:tcPr>
          <w:p w14:paraId="4765CC65" w14:textId="77777777" w:rsidR="00851F9D" w:rsidRPr="00BF57F7" w:rsidRDefault="00851F9D" w:rsidP="00851F9D">
            <w:pPr>
              <w:tabs>
                <w:tab w:val="left" w:pos="939"/>
              </w:tabs>
              <w:jc w:val="center"/>
              <w:rPr>
                <w:rFonts w:ascii="Arial" w:hAnsi="Arial" w:cs="Arial"/>
                <w:b/>
                <w:color w:val="FFFFFF" w:themeColor="background1"/>
              </w:rPr>
            </w:pPr>
            <w:r>
              <w:rPr>
                <w:rFonts w:ascii="Arial" w:hAnsi="Arial" w:cs="Arial"/>
                <w:b/>
                <w:color w:val="FFFFFF" w:themeColor="background1"/>
              </w:rPr>
              <w:t>Desktop analysis</w:t>
            </w:r>
          </w:p>
        </w:tc>
        <w:tc>
          <w:tcPr>
            <w:tcW w:w="2977" w:type="dxa"/>
            <w:shd w:val="clear" w:color="auto" w:fill="006699"/>
            <w:vAlign w:val="center"/>
          </w:tcPr>
          <w:p w14:paraId="275F14C9" w14:textId="77777777" w:rsidR="00851F9D" w:rsidRDefault="00851F9D" w:rsidP="00851F9D">
            <w:pPr>
              <w:tabs>
                <w:tab w:val="left" w:pos="939"/>
              </w:tabs>
              <w:jc w:val="center"/>
              <w:rPr>
                <w:rFonts w:ascii="Arial" w:hAnsi="Arial" w:cs="Arial"/>
                <w:b/>
                <w:color w:val="FFFFFF" w:themeColor="background1"/>
              </w:rPr>
            </w:pPr>
            <w:r>
              <w:rPr>
                <w:rFonts w:ascii="Arial" w:hAnsi="Arial" w:cs="Arial"/>
                <w:b/>
                <w:color w:val="FFFFFF" w:themeColor="background1"/>
              </w:rPr>
              <w:t>Site survey</w:t>
            </w:r>
          </w:p>
        </w:tc>
      </w:tr>
      <w:tr w:rsidR="00851F9D" w14:paraId="36E07997" w14:textId="77777777" w:rsidTr="00851F9D">
        <w:trPr>
          <w:trHeight w:val="567"/>
        </w:trPr>
        <w:tc>
          <w:tcPr>
            <w:tcW w:w="4253" w:type="dxa"/>
            <w:vAlign w:val="center"/>
          </w:tcPr>
          <w:p w14:paraId="6052891F" w14:textId="3F3F0CA9" w:rsidR="00851F9D" w:rsidRDefault="00851F9D" w:rsidP="00851F9D">
            <w:pPr>
              <w:tabs>
                <w:tab w:val="left" w:pos="939"/>
              </w:tabs>
              <w:rPr>
                <w:rFonts w:ascii="Arial" w:hAnsi="Arial" w:cs="Arial"/>
              </w:rPr>
            </w:pPr>
            <w:r>
              <w:rPr>
                <w:rFonts w:ascii="Arial" w:hAnsi="Arial" w:cs="Arial"/>
              </w:rPr>
              <w:t>Verifying meter details or supply arrangements</w:t>
            </w:r>
          </w:p>
        </w:tc>
        <w:tc>
          <w:tcPr>
            <w:tcW w:w="3118" w:type="dxa"/>
            <w:vAlign w:val="center"/>
          </w:tcPr>
          <w:p w14:paraId="59634C1E" w14:textId="4155383B" w:rsidR="00851F9D" w:rsidRDefault="00851F9D" w:rsidP="00787200">
            <w:pPr>
              <w:tabs>
                <w:tab w:val="left" w:pos="939"/>
              </w:tabs>
              <w:jc w:val="center"/>
              <w:rPr>
                <w:rFonts w:ascii="Arial" w:hAnsi="Arial" w:cs="Arial"/>
              </w:rPr>
            </w:pPr>
            <w:r>
              <w:rPr>
                <w:rFonts w:ascii="Arial" w:hAnsi="Arial" w:cs="Arial"/>
              </w:rPr>
              <w:t>£</w:t>
            </w:r>
            <w:r w:rsidR="00A547F3">
              <w:rPr>
                <w:rFonts w:ascii="Arial" w:hAnsi="Arial" w:cs="Arial"/>
              </w:rPr>
              <w:t>5</w:t>
            </w:r>
            <w:r w:rsidR="005456F7">
              <w:rPr>
                <w:rFonts w:ascii="Arial" w:hAnsi="Arial" w:cs="Arial"/>
              </w:rPr>
              <w:t>2</w:t>
            </w:r>
          </w:p>
        </w:tc>
        <w:tc>
          <w:tcPr>
            <w:tcW w:w="2977" w:type="dxa"/>
            <w:vAlign w:val="center"/>
          </w:tcPr>
          <w:p w14:paraId="516BFD47" w14:textId="52079424" w:rsidR="00851F9D" w:rsidRDefault="00851F9D" w:rsidP="00787200">
            <w:pPr>
              <w:tabs>
                <w:tab w:val="left" w:pos="939"/>
              </w:tabs>
              <w:jc w:val="center"/>
              <w:rPr>
                <w:rFonts w:ascii="Arial" w:hAnsi="Arial" w:cs="Arial"/>
              </w:rPr>
            </w:pPr>
            <w:r>
              <w:rPr>
                <w:rFonts w:ascii="Arial" w:hAnsi="Arial" w:cs="Arial"/>
              </w:rPr>
              <w:t>£</w:t>
            </w:r>
            <w:r w:rsidR="00787200">
              <w:rPr>
                <w:rFonts w:ascii="Arial" w:hAnsi="Arial" w:cs="Arial"/>
              </w:rPr>
              <w:t>1</w:t>
            </w:r>
            <w:r w:rsidR="005456F7">
              <w:rPr>
                <w:rFonts w:ascii="Arial" w:hAnsi="Arial" w:cs="Arial"/>
              </w:rPr>
              <w:t>10</w:t>
            </w:r>
          </w:p>
        </w:tc>
      </w:tr>
    </w:tbl>
    <w:p w14:paraId="5224F764" w14:textId="77777777" w:rsidR="00851F9D" w:rsidRDefault="00851F9D" w:rsidP="00851F9D">
      <w:pPr>
        <w:pStyle w:val="NoSpacing"/>
      </w:pPr>
    </w:p>
    <w:p w14:paraId="532919E5" w14:textId="12895C61" w:rsidR="00851F9D" w:rsidRDefault="00851F9D" w:rsidP="00851F9D">
      <w:pPr>
        <w:pStyle w:val="NoSpacing"/>
        <w:rPr>
          <w:rFonts w:ascii="Arial" w:hAnsi="Arial" w:cs="Arial"/>
        </w:rPr>
      </w:pPr>
      <w:r w:rsidRPr="00851F9D">
        <w:rPr>
          <w:rFonts w:ascii="Arial" w:hAnsi="Arial" w:cs="Arial"/>
        </w:rPr>
        <w:t>Note: a request beyond the standard service may require a price on application</w:t>
      </w:r>
      <w:r>
        <w:rPr>
          <w:rFonts w:ascii="Arial" w:hAnsi="Arial" w:cs="Arial"/>
        </w:rPr>
        <w:t>.</w:t>
      </w:r>
    </w:p>
    <w:p w14:paraId="3AA9A485" w14:textId="6C83772F" w:rsidR="00851F9D" w:rsidRDefault="00851F9D" w:rsidP="00851F9D">
      <w:pPr>
        <w:pStyle w:val="NoSpacing"/>
        <w:rPr>
          <w:rFonts w:ascii="Arial" w:hAnsi="Arial" w:cs="Arial"/>
        </w:rPr>
      </w:pPr>
    </w:p>
    <w:p w14:paraId="0A802995" w14:textId="77777777" w:rsidR="00DC3C27" w:rsidRDefault="00DC3C27" w:rsidP="00851F9D">
      <w:pPr>
        <w:pStyle w:val="NoSpacing"/>
        <w:rPr>
          <w:rFonts w:ascii="Arial" w:hAnsi="Arial" w:cs="Arial"/>
        </w:rPr>
      </w:pPr>
    </w:p>
    <w:p w14:paraId="01E330FC" w14:textId="77777777" w:rsidR="00851F9D" w:rsidRPr="00851F9D" w:rsidRDefault="00851F9D" w:rsidP="00851F9D">
      <w:pPr>
        <w:rPr>
          <w:rFonts w:ascii="Arial" w:hAnsi="Arial" w:cs="Arial"/>
          <w:b/>
        </w:rPr>
      </w:pPr>
      <w:r w:rsidRPr="00851F9D">
        <w:rPr>
          <w:rFonts w:ascii="Arial" w:hAnsi="Arial" w:cs="Arial"/>
          <w:b/>
        </w:rPr>
        <w:t xml:space="preserve">Appointments and cancellations </w:t>
      </w:r>
    </w:p>
    <w:p w14:paraId="76AD6B73" w14:textId="7D6AB65E" w:rsidR="00851F9D" w:rsidRPr="00851F9D" w:rsidRDefault="00851F9D" w:rsidP="00851F9D">
      <w:pPr>
        <w:rPr>
          <w:rFonts w:ascii="Arial" w:hAnsi="Arial" w:cs="Arial"/>
        </w:rPr>
      </w:pPr>
      <w:r w:rsidRPr="00851F9D">
        <w:rPr>
          <w:rFonts w:ascii="Arial" w:hAnsi="Arial" w:cs="Arial"/>
        </w:rPr>
        <w:t xml:space="preserve">If required, appointments will be arranged during the following working hours, excluding bank holidays and public holidays: </w:t>
      </w:r>
    </w:p>
    <w:p w14:paraId="5FE35ECE" w14:textId="77777777" w:rsidR="00613B8F" w:rsidRPr="00613B8F" w:rsidRDefault="00613B8F" w:rsidP="00613B8F">
      <w:pPr>
        <w:spacing w:after="0"/>
        <w:rPr>
          <w:rFonts w:ascii="Arial" w:hAnsi="Arial" w:cs="Arial"/>
        </w:rPr>
      </w:pPr>
      <w:r w:rsidRPr="00613B8F">
        <w:rPr>
          <w:rFonts w:ascii="Arial" w:hAnsi="Arial" w:cs="Arial"/>
        </w:rPr>
        <w:t>Monday – Friday, 8am – 8pm</w:t>
      </w:r>
    </w:p>
    <w:p w14:paraId="30B8EE90" w14:textId="77777777" w:rsidR="00613B8F" w:rsidRPr="00613B8F" w:rsidRDefault="00613B8F" w:rsidP="00613B8F">
      <w:pPr>
        <w:spacing w:after="0"/>
        <w:rPr>
          <w:rFonts w:ascii="Arial" w:hAnsi="Arial" w:cs="Arial"/>
        </w:rPr>
      </w:pPr>
      <w:r w:rsidRPr="00613B8F">
        <w:rPr>
          <w:rFonts w:ascii="Arial" w:hAnsi="Arial" w:cs="Arial"/>
        </w:rPr>
        <w:t>Saturday, 8am – 4pm</w:t>
      </w:r>
    </w:p>
    <w:p w14:paraId="789AA61B" w14:textId="63AB11BC" w:rsidR="00613B8F" w:rsidRDefault="00613B8F" w:rsidP="00613B8F">
      <w:pPr>
        <w:spacing w:after="0"/>
        <w:rPr>
          <w:rFonts w:ascii="Arial" w:hAnsi="Arial" w:cs="Arial"/>
        </w:rPr>
      </w:pPr>
      <w:r w:rsidRPr="00613B8F">
        <w:rPr>
          <w:rFonts w:ascii="Arial" w:hAnsi="Arial" w:cs="Arial"/>
        </w:rPr>
        <w:t>Sunday, 9am – 1pm</w:t>
      </w:r>
    </w:p>
    <w:p w14:paraId="4F412EC7" w14:textId="77777777" w:rsidR="00613B8F" w:rsidRDefault="00613B8F" w:rsidP="00613B8F">
      <w:pPr>
        <w:spacing w:after="0"/>
        <w:rPr>
          <w:rFonts w:ascii="Arial" w:hAnsi="Arial" w:cs="Arial"/>
        </w:rPr>
      </w:pPr>
    </w:p>
    <w:p w14:paraId="6139B1E6" w14:textId="79DEEF98" w:rsidR="00851F9D" w:rsidRPr="006A1DF8" w:rsidRDefault="00851F9D" w:rsidP="00851F9D">
      <w:pPr>
        <w:rPr>
          <w:rFonts w:ascii="Arial" w:hAnsi="Arial" w:cs="Arial"/>
        </w:rPr>
      </w:pPr>
      <w:r w:rsidRPr="006A1DF8">
        <w:rPr>
          <w:rFonts w:ascii="Arial" w:hAnsi="Arial" w:cs="Arial"/>
        </w:rPr>
        <w:t xml:space="preserve">Appointments outside our normal working hours can be scheduled and would need to be agreed and priced on application. </w:t>
      </w:r>
    </w:p>
    <w:p w14:paraId="6EE9906F" w14:textId="12EF157B" w:rsidR="00851F9D" w:rsidRDefault="00851F9D" w:rsidP="00851F9D">
      <w:pPr>
        <w:rPr>
          <w:rFonts w:ascii="Arial" w:hAnsi="Arial" w:cs="Arial"/>
        </w:rPr>
      </w:pPr>
      <w:r w:rsidRPr="006A1DF8">
        <w:rPr>
          <w:rFonts w:ascii="Arial" w:hAnsi="Arial" w:cs="Arial"/>
        </w:rPr>
        <w:t xml:space="preserve">We may need to temporarily limit supply of water services </w:t>
      </w:r>
      <w:proofErr w:type="gramStart"/>
      <w:r w:rsidRPr="006A1DF8">
        <w:rPr>
          <w:rFonts w:ascii="Arial" w:hAnsi="Arial" w:cs="Arial"/>
        </w:rPr>
        <w:t>in order to</w:t>
      </w:r>
      <w:proofErr w:type="gramEnd"/>
      <w:r w:rsidRPr="006A1DF8">
        <w:rPr>
          <w:rFonts w:ascii="Arial" w:hAnsi="Arial" w:cs="Arial"/>
        </w:rPr>
        <w:t xml:space="preserve"> carry out this service. If the premises is flagged as a sensitive </w:t>
      </w:r>
      <w:proofErr w:type="gramStart"/>
      <w:r w:rsidRPr="006A1DF8">
        <w:rPr>
          <w:rFonts w:ascii="Arial" w:hAnsi="Arial" w:cs="Arial"/>
        </w:rPr>
        <w:t>customer, or</w:t>
      </w:r>
      <w:proofErr w:type="gramEnd"/>
      <w:r w:rsidRPr="006A1DF8">
        <w:rPr>
          <w:rFonts w:ascii="Arial" w:hAnsi="Arial" w:cs="Arial"/>
        </w:rPr>
        <w:t xml:space="preserve"> has a site specific arrangement we will take this into account and take the appropriate action.</w:t>
      </w:r>
    </w:p>
    <w:p w14:paraId="7917C913" w14:textId="2089E35A" w:rsidR="00DC3C27" w:rsidRDefault="00DC3C27" w:rsidP="00851F9D">
      <w:pPr>
        <w:rPr>
          <w:rFonts w:ascii="Arial" w:hAnsi="Arial" w:cs="Arial"/>
        </w:rPr>
      </w:pPr>
    </w:p>
    <w:p w14:paraId="64E3BA80" w14:textId="0F76B34B" w:rsidR="00DC3C27" w:rsidRDefault="00DC3C27" w:rsidP="00851F9D">
      <w:pPr>
        <w:rPr>
          <w:rFonts w:ascii="Arial" w:hAnsi="Arial" w:cs="Arial"/>
        </w:rPr>
      </w:pPr>
    </w:p>
    <w:p w14:paraId="57C90236" w14:textId="5566B3C6" w:rsidR="00DC3C27" w:rsidRDefault="00DC3C27" w:rsidP="00851F9D">
      <w:pPr>
        <w:rPr>
          <w:rFonts w:ascii="Arial" w:hAnsi="Arial" w:cs="Arial"/>
        </w:rPr>
      </w:pPr>
    </w:p>
    <w:p w14:paraId="600B8AD2" w14:textId="35D9769A" w:rsidR="00DC3C27" w:rsidRDefault="00DC3C27" w:rsidP="00851F9D">
      <w:pPr>
        <w:rPr>
          <w:rFonts w:ascii="Arial" w:hAnsi="Arial" w:cs="Arial"/>
        </w:rPr>
      </w:pPr>
    </w:p>
    <w:p w14:paraId="72A7C364" w14:textId="28FFBE2D" w:rsidR="00DC3C27" w:rsidRDefault="00DC3C27" w:rsidP="00851F9D">
      <w:pPr>
        <w:rPr>
          <w:rFonts w:ascii="Arial" w:hAnsi="Arial" w:cs="Arial"/>
        </w:rPr>
      </w:pPr>
    </w:p>
    <w:p w14:paraId="762F9F15" w14:textId="518CAD36" w:rsidR="00DC3C27" w:rsidRDefault="00DC3C27" w:rsidP="00851F9D">
      <w:pPr>
        <w:rPr>
          <w:rFonts w:ascii="Arial" w:hAnsi="Arial" w:cs="Arial"/>
        </w:rPr>
      </w:pPr>
    </w:p>
    <w:p w14:paraId="1CDDE1B0" w14:textId="0E096AA6" w:rsidR="006A1DF8" w:rsidRDefault="006A1DF8" w:rsidP="00851F9D">
      <w:pPr>
        <w:rPr>
          <w:rFonts w:ascii="Arial" w:hAnsi="Arial" w:cs="Arial"/>
        </w:rPr>
      </w:pPr>
    </w:p>
    <w:p w14:paraId="1A4D169B" w14:textId="1A6909E8" w:rsidR="00A0219B" w:rsidRDefault="00A0219B" w:rsidP="00851F9D">
      <w:pPr>
        <w:rPr>
          <w:rFonts w:ascii="Arial" w:hAnsi="Arial" w:cs="Arial"/>
        </w:rPr>
      </w:pPr>
    </w:p>
    <w:p w14:paraId="4AADDBB4" w14:textId="0AD25ABE" w:rsidR="00A0219B" w:rsidRDefault="00A0219B" w:rsidP="00851F9D">
      <w:pPr>
        <w:rPr>
          <w:rFonts w:ascii="Arial" w:hAnsi="Arial" w:cs="Arial"/>
        </w:rPr>
      </w:pPr>
    </w:p>
    <w:p w14:paraId="42EFD00A" w14:textId="050CDF23" w:rsidR="00A0219B" w:rsidRDefault="00A0219B" w:rsidP="00851F9D">
      <w:pPr>
        <w:rPr>
          <w:rFonts w:ascii="Arial" w:hAnsi="Arial" w:cs="Arial"/>
        </w:rPr>
      </w:pPr>
    </w:p>
    <w:p w14:paraId="59D8EA79" w14:textId="77777777" w:rsidR="00A0219B" w:rsidRDefault="00A0219B" w:rsidP="00851F9D">
      <w:pPr>
        <w:rPr>
          <w:rFonts w:ascii="Arial" w:hAnsi="Arial" w:cs="Arial"/>
        </w:rPr>
      </w:pPr>
    </w:p>
    <w:p w14:paraId="1E001DD8" w14:textId="0585B6BF" w:rsidR="006A1DF8" w:rsidRDefault="006A1DF8" w:rsidP="00851F9D">
      <w:pPr>
        <w:rPr>
          <w:rFonts w:ascii="Arial" w:hAnsi="Arial" w:cs="Arial"/>
        </w:rPr>
      </w:pPr>
    </w:p>
    <w:p w14:paraId="6A1E2766" w14:textId="7DEB53F5" w:rsidR="00DC3C27" w:rsidRDefault="00DC3C27" w:rsidP="00851F9D">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7328" behindDoc="0" locked="0" layoutInCell="1" allowOverlap="1" wp14:anchorId="3E959E9A" wp14:editId="03EE7E47">
                <wp:simplePos x="0" y="0"/>
                <wp:positionH relativeFrom="column">
                  <wp:posOffset>-847725</wp:posOffset>
                </wp:positionH>
                <wp:positionV relativeFrom="paragraph">
                  <wp:posOffset>-11430</wp:posOffset>
                </wp:positionV>
                <wp:extent cx="7418070" cy="361666"/>
                <wp:effectExtent l="0" t="0" r="0" b="635"/>
                <wp:wrapNone/>
                <wp:docPr id="41" name="Text Box 4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9564052" w14:textId="3105E9F1" w:rsidR="007A7A0C" w:rsidRPr="004616F3" w:rsidRDefault="007A7A0C" w:rsidP="00DC3C27">
                            <w:pPr>
                              <w:pStyle w:val="NoSpacing"/>
                              <w:rPr>
                                <w:rFonts w:ascii="Arial" w:hAnsi="Arial" w:cs="Arial"/>
                                <w:color w:val="FFFFFF" w:themeColor="background1"/>
                                <w:sz w:val="32"/>
                              </w:rPr>
                            </w:pPr>
                            <w:r>
                              <w:rPr>
                                <w:rFonts w:ascii="Arial" w:hAnsi="Arial" w:cs="Arial"/>
                                <w:color w:val="FFFFFF" w:themeColor="background1"/>
                                <w:sz w:val="32"/>
                              </w:rPr>
                              <w:t>C.1.3 Assessing applications for trade effluent consents</w:t>
                            </w:r>
                          </w:p>
                          <w:p w14:paraId="5CEE6C51" w14:textId="77777777" w:rsidR="007A7A0C" w:rsidRPr="004616F3" w:rsidRDefault="007A7A0C" w:rsidP="00DC3C2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9E9A" id="Text Box 41" o:spid="_x0000_s1066" type="#_x0000_t202" style="position:absolute;margin-left:-66.75pt;margin-top:-.9pt;width:584.1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" fillcolor="#069" stroked="f" strokeweight=".5pt">
                <v:textbox>
                  <w:txbxContent>
                    <w:p w14:paraId="59564052" w14:textId="3105E9F1" w:rsidR="007A7A0C" w:rsidRPr="004616F3" w:rsidRDefault="007A7A0C" w:rsidP="00DC3C27">
                      <w:pPr>
                        <w:pStyle w:val="NoSpacing"/>
                        <w:rPr>
                          <w:rFonts w:ascii="Arial" w:hAnsi="Arial" w:cs="Arial"/>
                          <w:color w:val="FFFFFF" w:themeColor="background1"/>
                          <w:sz w:val="32"/>
                        </w:rPr>
                      </w:pPr>
                      <w:r>
                        <w:rPr>
                          <w:rFonts w:ascii="Arial" w:hAnsi="Arial" w:cs="Arial"/>
                          <w:color w:val="FFFFFF" w:themeColor="background1"/>
                          <w:sz w:val="32"/>
                        </w:rPr>
                        <w:t>C.1.3 Assessing applications for trade effluent consents</w:t>
                      </w:r>
                    </w:p>
                    <w:p w14:paraId="5CEE6C51" w14:textId="77777777" w:rsidR="007A7A0C" w:rsidRPr="004616F3" w:rsidRDefault="007A7A0C" w:rsidP="00DC3C27">
                      <w:pPr>
                        <w:pStyle w:val="NoSpacing"/>
                        <w:rPr>
                          <w:rFonts w:ascii="Arial" w:hAnsi="Arial" w:cs="Arial"/>
                          <w:color w:val="FFFFFF" w:themeColor="background1"/>
                          <w:sz w:val="32"/>
                        </w:rPr>
                      </w:pPr>
                    </w:p>
                  </w:txbxContent>
                </v:textbox>
              </v:shape>
            </w:pict>
          </mc:Fallback>
        </mc:AlternateContent>
      </w:r>
    </w:p>
    <w:p w14:paraId="4FF0B018" w14:textId="772FC025" w:rsidR="00DC3C27" w:rsidRDefault="00DC3C27" w:rsidP="00851F9D">
      <w:pPr>
        <w:rPr>
          <w:rFonts w:ascii="Arial" w:hAnsi="Arial" w:cs="Arial"/>
        </w:rPr>
      </w:pPr>
    </w:p>
    <w:p w14:paraId="3DEE1A62" w14:textId="77777777" w:rsidR="00DC3C27" w:rsidRDefault="00DC3C27" w:rsidP="00851F9D">
      <w:pPr>
        <w:rPr>
          <w:rFonts w:ascii="Arial" w:hAnsi="Arial" w:cs="Arial"/>
        </w:rPr>
      </w:pPr>
      <w:r w:rsidRPr="00DC3C27">
        <w:rPr>
          <w:rFonts w:ascii="Arial" w:hAnsi="Arial" w:cs="Arial"/>
        </w:rPr>
        <w:t xml:space="preserve">You can request a trade effluent consent on behalf of your non-household customer. We will assess applications for the following types of consents: </w:t>
      </w:r>
    </w:p>
    <w:p w14:paraId="32940A30" w14:textId="7EAFB391" w:rsidR="00A547F3" w:rsidRDefault="00A547F3" w:rsidP="00A547F3">
      <w:pPr>
        <w:pStyle w:val="ListParagraph"/>
        <w:numPr>
          <w:ilvl w:val="0"/>
          <w:numId w:val="16"/>
        </w:numPr>
      </w:pPr>
      <w:r>
        <w:t xml:space="preserve">Temporary consent – valid for a maximum period of 6 months from the date it was issued; and, </w:t>
      </w:r>
    </w:p>
    <w:p w14:paraId="0631181C" w14:textId="248198C2" w:rsidR="00A547F3" w:rsidRDefault="00A547F3" w:rsidP="00A547F3">
      <w:pPr>
        <w:pStyle w:val="ListParagraph"/>
        <w:numPr>
          <w:ilvl w:val="0"/>
          <w:numId w:val="16"/>
        </w:numPr>
      </w:pPr>
      <w:r>
        <w:t xml:space="preserve">Full consent – all other Trade Effluent discharges not covered by the above, no time limited validation. </w:t>
      </w:r>
    </w:p>
    <w:p w14:paraId="492729AE" w14:textId="36661B46" w:rsidR="00851F9D" w:rsidRDefault="00A547F3" w:rsidP="00A547F3">
      <w:pPr>
        <w:rPr>
          <w:rFonts w:ascii="Arial" w:hAnsi="Arial" w:cs="Arial"/>
        </w:rPr>
      </w:pPr>
      <w:r>
        <w:t xml:space="preserve">An application fee will be charged in relation to each application made and if samples are required </w:t>
      </w:r>
      <w:proofErr w:type="gramStart"/>
      <w:r>
        <w:t>in order to</w:t>
      </w:r>
      <w:proofErr w:type="gramEnd"/>
      <w:r>
        <w:t xml:space="preserve"> assess the application, we will also charge you for each sample that we take as detailed below. If sewerage modelling is required, we will charge on a price on application basis. Tariffs will be charged, and you will be liable for, in line with the conditions set out below.</w:t>
      </w:r>
    </w:p>
    <w:tbl>
      <w:tblPr>
        <w:tblStyle w:val="TableGrid"/>
        <w:tblW w:w="8518" w:type="dxa"/>
        <w:tblInd w:w="250" w:type="dxa"/>
        <w:tblLook w:val="04A0" w:firstRow="1" w:lastRow="0" w:firstColumn="1" w:lastColumn="0" w:noHBand="0" w:noVBand="1"/>
      </w:tblPr>
      <w:tblGrid>
        <w:gridCol w:w="3108"/>
        <w:gridCol w:w="1793"/>
        <w:gridCol w:w="1815"/>
        <w:gridCol w:w="1802"/>
      </w:tblGrid>
      <w:tr w:rsidR="00A547F3" w14:paraId="078781DD" w14:textId="27C2A919" w:rsidTr="009A79FB">
        <w:trPr>
          <w:trHeight w:val="567"/>
        </w:trPr>
        <w:tc>
          <w:tcPr>
            <w:tcW w:w="3108" w:type="dxa"/>
            <w:shd w:val="clear" w:color="auto" w:fill="006699"/>
            <w:vAlign w:val="center"/>
          </w:tcPr>
          <w:p w14:paraId="2DB30C9F" w14:textId="49FB9B46" w:rsidR="00A547F3" w:rsidRPr="00A547F3" w:rsidRDefault="00A547F3" w:rsidP="00DC3C27">
            <w:pPr>
              <w:tabs>
                <w:tab w:val="left" w:pos="939"/>
              </w:tabs>
              <w:rPr>
                <w:rFonts w:ascii="Arial" w:hAnsi="Arial" w:cs="Arial"/>
                <w:b/>
                <w:bCs/>
                <w:color w:val="FFFFFF" w:themeColor="background1"/>
              </w:rPr>
            </w:pPr>
            <w:r w:rsidRPr="00A547F3">
              <w:rPr>
                <w:rFonts w:ascii="Arial" w:hAnsi="Arial" w:cs="Arial"/>
                <w:b/>
                <w:bCs/>
                <w:color w:val="FFFFFF" w:themeColor="background1"/>
              </w:rPr>
              <w:t>Assessing applications for trade effluent consents</w:t>
            </w:r>
          </w:p>
        </w:tc>
        <w:tc>
          <w:tcPr>
            <w:tcW w:w="1793" w:type="dxa"/>
            <w:shd w:val="clear" w:color="auto" w:fill="006699"/>
            <w:vAlign w:val="center"/>
          </w:tcPr>
          <w:p w14:paraId="3C62CC85" w14:textId="176BFF42" w:rsidR="00A547F3" w:rsidRDefault="00A547F3" w:rsidP="00A51CC3">
            <w:pPr>
              <w:tabs>
                <w:tab w:val="left" w:pos="939"/>
              </w:tabs>
              <w:jc w:val="center"/>
              <w:rPr>
                <w:rFonts w:ascii="Arial" w:hAnsi="Arial" w:cs="Arial"/>
                <w:b/>
                <w:color w:val="FFFFFF" w:themeColor="background1"/>
              </w:rPr>
            </w:pPr>
            <w:r>
              <w:rPr>
                <w:rFonts w:ascii="Arial" w:hAnsi="Arial" w:cs="Arial"/>
                <w:b/>
                <w:color w:val="FFFFFF" w:themeColor="background1"/>
              </w:rPr>
              <w:t>Trade effluent consent fee</w:t>
            </w:r>
          </w:p>
        </w:tc>
        <w:tc>
          <w:tcPr>
            <w:tcW w:w="1815" w:type="dxa"/>
            <w:shd w:val="clear" w:color="auto" w:fill="006699"/>
            <w:vAlign w:val="center"/>
          </w:tcPr>
          <w:p w14:paraId="6C36A5E7" w14:textId="5D701542" w:rsidR="00A547F3" w:rsidRDefault="00A547F3" w:rsidP="00DC3C27">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c>
          <w:tcPr>
            <w:tcW w:w="1802" w:type="dxa"/>
            <w:shd w:val="clear" w:color="auto" w:fill="006699"/>
            <w:vAlign w:val="center"/>
          </w:tcPr>
          <w:p w14:paraId="71DDDD79" w14:textId="377DC57A" w:rsidR="00A547F3" w:rsidRDefault="00A547F3" w:rsidP="00A51CC3">
            <w:pPr>
              <w:tabs>
                <w:tab w:val="left" w:pos="939"/>
              </w:tabs>
              <w:jc w:val="center"/>
              <w:rPr>
                <w:rFonts w:ascii="Arial" w:hAnsi="Arial" w:cs="Arial"/>
                <w:b/>
                <w:color w:val="FFFFFF" w:themeColor="background1"/>
              </w:rPr>
            </w:pPr>
            <w:r>
              <w:rPr>
                <w:rFonts w:ascii="Arial" w:hAnsi="Arial" w:cs="Arial"/>
                <w:b/>
                <w:color w:val="FFFFFF" w:themeColor="background1"/>
              </w:rPr>
              <w:t>Sewerage modelling</w:t>
            </w:r>
          </w:p>
        </w:tc>
      </w:tr>
      <w:tr w:rsidR="00A547F3" w14:paraId="1D5F17EB" w14:textId="67867067" w:rsidTr="009A79FB">
        <w:trPr>
          <w:trHeight w:val="567"/>
        </w:trPr>
        <w:tc>
          <w:tcPr>
            <w:tcW w:w="3108" w:type="dxa"/>
            <w:vAlign w:val="center"/>
          </w:tcPr>
          <w:p w14:paraId="748DA0F9" w14:textId="1B2EAD51" w:rsidR="00A547F3" w:rsidRDefault="009A79FB" w:rsidP="00DC3C27">
            <w:pPr>
              <w:tabs>
                <w:tab w:val="left" w:pos="939"/>
              </w:tabs>
              <w:rPr>
                <w:rFonts w:ascii="Arial" w:hAnsi="Arial" w:cs="Arial"/>
              </w:rPr>
            </w:pPr>
            <w:r>
              <w:rPr>
                <w:rFonts w:ascii="Arial" w:hAnsi="Arial" w:cs="Arial"/>
              </w:rPr>
              <w:t>Temporary application fee</w:t>
            </w:r>
          </w:p>
        </w:tc>
        <w:tc>
          <w:tcPr>
            <w:tcW w:w="1793" w:type="dxa"/>
            <w:vAlign w:val="center"/>
          </w:tcPr>
          <w:p w14:paraId="63973028" w14:textId="349ADDB8" w:rsidR="00A547F3" w:rsidRDefault="00A547F3" w:rsidP="00787200">
            <w:pPr>
              <w:tabs>
                <w:tab w:val="left" w:pos="939"/>
              </w:tabs>
              <w:jc w:val="center"/>
              <w:rPr>
                <w:rFonts w:ascii="Arial" w:hAnsi="Arial" w:cs="Arial"/>
              </w:rPr>
            </w:pPr>
            <w:r>
              <w:rPr>
                <w:rFonts w:ascii="Arial" w:hAnsi="Arial" w:cs="Arial"/>
              </w:rPr>
              <w:t>£</w:t>
            </w:r>
            <w:r w:rsidR="009A79FB">
              <w:rPr>
                <w:rFonts w:ascii="Arial" w:hAnsi="Arial" w:cs="Arial"/>
              </w:rPr>
              <w:t>5</w:t>
            </w:r>
            <w:r w:rsidR="008F0106">
              <w:rPr>
                <w:rFonts w:ascii="Arial" w:hAnsi="Arial" w:cs="Arial"/>
              </w:rPr>
              <w:t>7</w:t>
            </w:r>
            <w:r>
              <w:rPr>
                <w:rFonts w:ascii="Arial" w:hAnsi="Arial" w:cs="Arial"/>
              </w:rPr>
              <w:t xml:space="preserve">            </w:t>
            </w:r>
          </w:p>
        </w:tc>
        <w:tc>
          <w:tcPr>
            <w:tcW w:w="1815" w:type="dxa"/>
            <w:vAlign w:val="center"/>
          </w:tcPr>
          <w:p w14:paraId="62F99F3F" w14:textId="7C9F2343" w:rsidR="00A547F3" w:rsidRDefault="009A79FB" w:rsidP="00DC3C27">
            <w:pPr>
              <w:tabs>
                <w:tab w:val="left" w:pos="939"/>
              </w:tabs>
              <w:jc w:val="center"/>
              <w:rPr>
                <w:rFonts w:ascii="Arial" w:hAnsi="Arial" w:cs="Arial"/>
              </w:rPr>
            </w:pPr>
            <w:r>
              <w:rPr>
                <w:rFonts w:ascii="Arial" w:hAnsi="Arial" w:cs="Arial"/>
              </w:rPr>
              <w:t>£5</w:t>
            </w:r>
            <w:r w:rsidR="008F0106">
              <w:rPr>
                <w:rFonts w:ascii="Arial" w:hAnsi="Arial" w:cs="Arial"/>
              </w:rPr>
              <w:t>7</w:t>
            </w:r>
          </w:p>
        </w:tc>
        <w:tc>
          <w:tcPr>
            <w:tcW w:w="1802" w:type="dxa"/>
            <w:vAlign w:val="center"/>
          </w:tcPr>
          <w:p w14:paraId="2B930C97" w14:textId="7177241D" w:rsidR="00A547F3" w:rsidRDefault="009A79FB" w:rsidP="00787200">
            <w:pPr>
              <w:tabs>
                <w:tab w:val="left" w:pos="939"/>
              </w:tabs>
              <w:jc w:val="center"/>
              <w:rPr>
                <w:rFonts w:ascii="Arial" w:hAnsi="Arial" w:cs="Arial"/>
              </w:rPr>
            </w:pPr>
            <w:r>
              <w:rPr>
                <w:rFonts w:ascii="Arial" w:hAnsi="Arial" w:cs="Arial"/>
              </w:rPr>
              <w:t>POA</w:t>
            </w:r>
          </w:p>
        </w:tc>
      </w:tr>
      <w:tr w:rsidR="009A79FB" w14:paraId="1C291F08" w14:textId="77777777" w:rsidTr="009A79FB">
        <w:trPr>
          <w:trHeight w:val="567"/>
        </w:trPr>
        <w:tc>
          <w:tcPr>
            <w:tcW w:w="3108" w:type="dxa"/>
            <w:vAlign w:val="center"/>
          </w:tcPr>
          <w:p w14:paraId="468529D8" w14:textId="051DF6FD" w:rsidR="009A79FB" w:rsidRDefault="009A79FB" w:rsidP="009A79FB">
            <w:pPr>
              <w:tabs>
                <w:tab w:val="left" w:pos="939"/>
              </w:tabs>
              <w:rPr>
                <w:rFonts w:ascii="Arial" w:hAnsi="Arial" w:cs="Arial"/>
              </w:rPr>
            </w:pPr>
            <w:r>
              <w:rPr>
                <w:rFonts w:ascii="Arial" w:hAnsi="Arial" w:cs="Arial"/>
              </w:rPr>
              <w:t>Full application fee</w:t>
            </w:r>
          </w:p>
        </w:tc>
        <w:tc>
          <w:tcPr>
            <w:tcW w:w="1793" w:type="dxa"/>
            <w:vAlign w:val="center"/>
          </w:tcPr>
          <w:p w14:paraId="7DA30EEB" w14:textId="5E669E32" w:rsidR="009A79FB" w:rsidRDefault="009A79FB" w:rsidP="009A79FB">
            <w:pPr>
              <w:tabs>
                <w:tab w:val="left" w:pos="939"/>
              </w:tabs>
              <w:jc w:val="center"/>
              <w:rPr>
                <w:rFonts w:ascii="Arial" w:hAnsi="Arial" w:cs="Arial"/>
              </w:rPr>
            </w:pPr>
            <w:r>
              <w:rPr>
                <w:rFonts w:ascii="Arial" w:hAnsi="Arial" w:cs="Arial"/>
              </w:rPr>
              <w:t>£2</w:t>
            </w:r>
            <w:r w:rsidR="008F0106">
              <w:rPr>
                <w:rFonts w:ascii="Arial" w:hAnsi="Arial" w:cs="Arial"/>
              </w:rPr>
              <w:t>45</w:t>
            </w:r>
            <w:r>
              <w:rPr>
                <w:rFonts w:ascii="Arial" w:hAnsi="Arial" w:cs="Arial"/>
              </w:rPr>
              <w:t xml:space="preserve">          </w:t>
            </w:r>
          </w:p>
        </w:tc>
        <w:tc>
          <w:tcPr>
            <w:tcW w:w="1815" w:type="dxa"/>
            <w:vAlign w:val="center"/>
          </w:tcPr>
          <w:p w14:paraId="73804A33" w14:textId="3CF4D8CA" w:rsidR="009A79FB" w:rsidRDefault="009A79FB" w:rsidP="009A79FB">
            <w:pPr>
              <w:tabs>
                <w:tab w:val="left" w:pos="939"/>
              </w:tabs>
              <w:jc w:val="center"/>
              <w:rPr>
                <w:rFonts w:ascii="Arial" w:hAnsi="Arial" w:cs="Arial"/>
              </w:rPr>
            </w:pPr>
            <w:r>
              <w:rPr>
                <w:rFonts w:ascii="Arial" w:hAnsi="Arial" w:cs="Arial"/>
              </w:rPr>
              <w:t>£6</w:t>
            </w:r>
            <w:r w:rsidR="008F0106">
              <w:rPr>
                <w:rFonts w:ascii="Arial" w:hAnsi="Arial" w:cs="Arial"/>
              </w:rPr>
              <w:t>9</w:t>
            </w:r>
          </w:p>
        </w:tc>
        <w:tc>
          <w:tcPr>
            <w:tcW w:w="1802" w:type="dxa"/>
            <w:vAlign w:val="center"/>
          </w:tcPr>
          <w:p w14:paraId="1BAB780C" w14:textId="6FE72ED6" w:rsidR="009A79FB" w:rsidRDefault="009A79FB" w:rsidP="009A79FB">
            <w:pPr>
              <w:tabs>
                <w:tab w:val="left" w:pos="939"/>
              </w:tabs>
              <w:jc w:val="center"/>
              <w:rPr>
                <w:rFonts w:ascii="Arial" w:hAnsi="Arial" w:cs="Arial"/>
              </w:rPr>
            </w:pPr>
            <w:r>
              <w:rPr>
                <w:rFonts w:ascii="Arial" w:hAnsi="Arial" w:cs="Arial"/>
              </w:rPr>
              <w:t>POA</w:t>
            </w:r>
          </w:p>
        </w:tc>
      </w:tr>
      <w:tr w:rsidR="009A79FB" w14:paraId="0A7F4134" w14:textId="77777777" w:rsidTr="009A79FB">
        <w:trPr>
          <w:trHeight w:val="567"/>
        </w:trPr>
        <w:tc>
          <w:tcPr>
            <w:tcW w:w="3108" w:type="dxa"/>
            <w:vAlign w:val="center"/>
          </w:tcPr>
          <w:p w14:paraId="64769B2C" w14:textId="2DEFA335" w:rsidR="009A79FB" w:rsidRDefault="009A79FB" w:rsidP="009A79FB">
            <w:pPr>
              <w:tabs>
                <w:tab w:val="left" w:pos="939"/>
              </w:tabs>
              <w:rPr>
                <w:rFonts w:ascii="Arial" w:hAnsi="Arial" w:cs="Arial"/>
              </w:rPr>
            </w:pPr>
            <w:r>
              <w:rPr>
                <w:rFonts w:ascii="Arial" w:hAnsi="Arial" w:cs="Arial"/>
              </w:rPr>
              <w:t>Sample fee</w:t>
            </w:r>
          </w:p>
        </w:tc>
        <w:tc>
          <w:tcPr>
            <w:tcW w:w="1793" w:type="dxa"/>
            <w:vAlign w:val="center"/>
          </w:tcPr>
          <w:p w14:paraId="352BDBF3" w14:textId="12F0DCFD" w:rsidR="009A79FB" w:rsidRDefault="009A79FB" w:rsidP="009A79FB">
            <w:pPr>
              <w:tabs>
                <w:tab w:val="left" w:pos="939"/>
              </w:tabs>
              <w:jc w:val="center"/>
              <w:rPr>
                <w:rFonts w:ascii="Arial" w:hAnsi="Arial" w:cs="Arial"/>
              </w:rPr>
            </w:pPr>
            <w:r>
              <w:rPr>
                <w:rFonts w:ascii="Arial" w:hAnsi="Arial" w:cs="Arial"/>
              </w:rPr>
              <w:t>£11</w:t>
            </w:r>
            <w:r w:rsidR="008F0106">
              <w:rPr>
                <w:rFonts w:ascii="Arial" w:hAnsi="Arial" w:cs="Arial"/>
              </w:rPr>
              <w:t>2</w:t>
            </w:r>
            <w:r>
              <w:rPr>
                <w:rFonts w:ascii="Arial" w:hAnsi="Arial" w:cs="Arial"/>
              </w:rPr>
              <w:t xml:space="preserve">            </w:t>
            </w:r>
          </w:p>
        </w:tc>
        <w:tc>
          <w:tcPr>
            <w:tcW w:w="1815" w:type="dxa"/>
            <w:vAlign w:val="center"/>
          </w:tcPr>
          <w:p w14:paraId="6EA1C181" w14:textId="446FBC15" w:rsidR="009A79FB" w:rsidRDefault="009A79FB" w:rsidP="009A79FB">
            <w:pPr>
              <w:tabs>
                <w:tab w:val="left" w:pos="939"/>
              </w:tabs>
              <w:jc w:val="center"/>
              <w:rPr>
                <w:rFonts w:ascii="Arial" w:hAnsi="Arial" w:cs="Arial"/>
              </w:rPr>
            </w:pPr>
            <w:r>
              <w:rPr>
                <w:rFonts w:ascii="Arial" w:hAnsi="Arial" w:cs="Arial"/>
              </w:rPr>
              <w:t>£</w:t>
            </w:r>
            <w:r w:rsidR="008F0106">
              <w:rPr>
                <w:rFonts w:ascii="Arial" w:hAnsi="Arial" w:cs="Arial"/>
              </w:rPr>
              <w:t>79</w:t>
            </w:r>
          </w:p>
        </w:tc>
        <w:tc>
          <w:tcPr>
            <w:tcW w:w="1802" w:type="dxa"/>
            <w:vAlign w:val="center"/>
          </w:tcPr>
          <w:p w14:paraId="4E8975F6" w14:textId="7E16FD36" w:rsidR="009A79FB" w:rsidRDefault="009A79FB" w:rsidP="009A79FB">
            <w:pPr>
              <w:tabs>
                <w:tab w:val="left" w:pos="939"/>
              </w:tabs>
              <w:jc w:val="center"/>
              <w:rPr>
                <w:rFonts w:ascii="Arial" w:hAnsi="Arial" w:cs="Arial"/>
              </w:rPr>
            </w:pPr>
            <w:r>
              <w:rPr>
                <w:rFonts w:ascii="Arial" w:hAnsi="Arial" w:cs="Arial"/>
              </w:rPr>
              <w:t>POA</w:t>
            </w:r>
          </w:p>
        </w:tc>
      </w:tr>
    </w:tbl>
    <w:p w14:paraId="1EAB539A" w14:textId="634E7CB1" w:rsidR="00DC3C27" w:rsidRDefault="00DC3C27" w:rsidP="00A51CC3">
      <w:pPr>
        <w:pStyle w:val="NoSpacing"/>
      </w:pPr>
    </w:p>
    <w:p w14:paraId="55128E4E" w14:textId="74AB4378" w:rsidR="00A51CC3" w:rsidRDefault="00A51CC3" w:rsidP="00A51CC3">
      <w:pPr>
        <w:pStyle w:val="NoSpacing"/>
        <w:rPr>
          <w:rFonts w:ascii="Arial" w:hAnsi="Arial" w:cs="Arial"/>
        </w:rPr>
      </w:pPr>
      <w:r w:rsidRPr="00A51CC3">
        <w:rPr>
          <w:rFonts w:ascii="Arial" w:hAnsi="Arial" w:cs="Arial"/>
        </w:rPr>
        <w:t>Note: a request beyond the standard service may require a price on application</w:t>
      </w:r>
      <w:r>
        <w:rPr>
          <w:rFonts w:ascii="Arial" w:hAnsi="Arial" w:cs="Arial"/>
        </w:rPr>
        <w:t>.</w:t>
      </w:r>
    </w:p>
    <w:p w14:paraId="69484A07" w14:textId="154CDD11" w:rsidR="00A51CC3" w:rsidRDefault="00A51CC3" w:rsidP="00A51CC3">
      <w:pPr>
        <w:pStyle w:val="NoSpacing"/>
        <w:rPr>
          <w:rFonts w:ascii="Arial" w:hAnsi="Arial" w:cs="Arial"/>
        </w:rPr>
      </w:pPr>
    </w:p>
    <w:p w14:paraId="7C8DBDC9" w14:textId="77777777" w:rsidR="00A51CC3" w:rsidRPr="003A38E1" w:rsidRDefault="00A51CC3" w:rsidP="00A51CC3">
      <w:pPr>
        <w:pStyle w:val="NoSpacing"/>
        <w:rPr>
          <w:rFonts w:ascii="Arial" w:hAnsi="Arial" w:cs="Arial"/>
          <w:b/>
        </w:rPr>
      </w:pPr>
      <w:r w:rsidRPr="003A38E1">
        <w:rPr>
          <w:rFonts w:ascii="Arial" w:hAnsi="Arial" w:cs="Arial"/>
          <w:b/>
        </w:rPr>
        <w:t xml:space="preserve">Service requests and ordering </w:t>
      </w:r>
    </w:p>
    <w:p w14:paraId="3784F937" w14:textId="6920533F" w:rsidR="00A51CC3" w:rsidRPr="003A38E1" w:rsidRDefault="00A51CC3" w:rsidP="00A51CC3">
      <w:pPr>
        <w:pStyle w:val="NoSpacing"/>
        <w:rPr>
          <w:rFonts w:ascii="Arial" w:hAnsi="Arial" w:cs="Arial"/>
        </w:rPr>
      </w:pPr>
      <w:r w:rsidRPr="003A38E1">
        <w:rPr>
          <w:rFonts w:ascii="Arial" w:hAnsi="Arial" w:cs="Arial"/>
        </w:rPr>
        <w:t xml:space="preserve">If the request form is materially complete, we will review it to decide if we can issue a consent and the conditions to be applied. If the form isn’t materially complete, we will tell you what information we need. If we do not receive the information within 5 business days, we will reject the application and you will need to restart the process. Please note we will require a scanned copy of an application which your non-household customer has signed. </w:t>
      </w:r>
    </w:p>
    <w:p w14:paraId="1BCA197E" w14:textId="77777777" w:rsidR="00A51CC3" w:rsidRPr="003A38E1" w:rsidRDefault="00A51CC3" w:rsidP="00A51CC3">
      <w:pPr>
        <w:pStyle w:val="NoSpacing"/>
        <w:rPr>
          <w:rFonts w:ascii="Arial" w:hAnsi="Arial" w:cs="Arial"/>
        </w:rPr>
      </w:pPr>
    </w:p>
    <w:p w14:paraId="5403BD15" w14:textId="77777777" w:rsidR="00A51CC3" w:rsidRDefault="00A51CC3" w:rsidP="00A51CC3">
      <w:pPr>
        <w:pStyle w:val="NoSpacing"/>
        <w:rPr>
          <w:rFonts w:ascii="Arial" w:hAnsi="Arial" w:cs="Arial"/>
        </w:rPr>
      </w:pPr>
      <w:r w:rsidRPr="003A38E1">
        <w:rPr>
          <w:rFonts w:ascii="Arial" w:hAnsi="Arial" w:cs="Arial"/>
        </w:rPr>
        <w:t xml:space="preserve">Consents cannot be transferred to a new owner or occupier of the premises. New owners or occupiers of the premises who would like permission to discharge trade effluent must apply for a consent. Under section 125 of the Water Industry Act 1991, we may decide to change the conditions of a trade effluent consent at any time if we consider it necessary to do so </w:t>
      </w:r>
      <w:proofErr w:type="gramStart"/>
      <w:r w:rsidRPr="003A38E1">
        <w:rPr>
          <w:rFonts w:ascii="Arial" w:hAnsi="Arial" w:cs="Arial"/>
        </w:rPr>
        <w:t>in order to</w:t>
      </w:r>
      <w:proofErr w:type="gramEnd"/>
      <w:r w:rsidRPr="003A38E1">
        <w:rPr>
          <w:rFonts w:ascii="Arial" w:hAnsi="Arial" w:cs="Arial"/>
        </w:rPr>
        <w:t xml:space="preserve"> protect persons that are likely to be affected by the discharge.</w:t>
      </w:r>
      <w:r w:rsidRPr="00A51CC3">
        <w:rPr>
          <w:rFonts w:ascii="Arial" w:hAnsi="Arial" w:cs="Arial"/>
        </w:rPr>
        <w:t xml:space="preserve"> </w:t>
      </w:r>
    </w:p>
    <w:p w14:paraId="0F18148D" w14:textId="77777777" w:rsidR="00A51CC3" w:rsidRDefault="00A51CC3" w:rsidP="00A51CC3">
      <w:pPr>
        <w:pStyle w:val="NoSpacing"/>
        <w:rPr>
          <w:rFonts w:ascii="Arial" w:hAnsi="Arial" w:cs="Arial"/>
        </w:rPr>
      </w:pPr>
    </w:p>
    <w:p w14:paraId="077E893F" w14:textId="77777777" w:rsidR="00A51CC3" w:rsidRPr="00A51CC3" w:rsidRDefault="00A51CC3" w:rsidP="00A51CC3">
      <w:pPr>
        <w:pStyle w:val="NoSpacing"/>
        <w:rPr>
          <w:rFonts w:ascii="Arial" w:hAnsi="Arial" w:cs="Arial"/>
          <w:b/>
        </w:rPr>
      </w:pPr>
      <w:r w:rsidRPr="00A51CC3">
        <w:rPr>
          <w:rFonts w:ascii="Arial" w:hAnsi="Arial" w:cs="Arial"/>
          <w:b/>
        </w:rPr>
        <w:t xml:space="preserve">Abortive charges </w:t>
      </w:r>
    </w:p>
    <w:p w14:paraId="42552B6E" w14:textId="77777777" w:rsidR="00A51CC3" w:rsidRDefault="00A51CC3" w:rsidP="00A51CC3">
      <w:pPr>
        <w:pStyle w:val="NoSpacing"/>
        <w:rPr>
          <w:rFonts w:ascii="Arial" w:hAnsi="Arial" w:cs="Arial"/>
        </w:rPr>
      </w:pPr>
      <w:r w:rsidRPr="00A51CC3">
        <w:rPr>
          <w:rFonts w:ascii="Arial" w:hAnsi="Arial" w:cs="Arial"/>
        </w:rPr>
        <w:t xml:space="preserve">Abortive charges apply to this service in line with our general conditions and may also apply where we have arranged a site survey or sampling visit. Tariffs are set out in the table above and you shall be liable for all such tariffs and charges. </w:t>
      </w:r>
    </w:p>
    <w:p w14:paraId="5765ECCB" w14:textId="77777777" w:rsidR="00A51CC3" w:rsidRDefault="00A51CC3" w:rsidP="00A51CC3">
      <w:pPr>
        <w:pStyle w:val="NoSpacing"/>
        <w:rPr>
          <w:rFonts w:ascii="Arial" w:hAnsi="Arial" w:cs="Arial"/>
        </w:rPr>
      </w:pPr>
    </w:p>
    <w:p w14:paraId="5AEDEB8C" w14:textId="77777777" w:rsidR="00A51CC3" w:rsidRPr="00A51CC3" w:rsidRDefault="00A51CC3" w:rsidP="00A51CC3">
      <w:pPr>
        <w:pStyle w:val="NoSpacing"/>
        <w:rPr>
          <w:rFonts w:ascii="Arial" w:hAnsi="Arial" w:cs="Arial"/>
          <w:b/>
        </w:rPr>
      </w:pPr>
      <w:r w:rsidRPr="00A51CC3">
        <w:rPr>
          <w:rFonts w:ascii="Arial" w:hAnsi="Arial" w:cs="Arial"/>
          <w:b/>
        </w:rPr>
        <w:t xml:space="preserve">Investigations </w:t>
      </w:r>
    </w:p>
    <w:p w14:paraId="40C98594" w14:textId="747242AE" w:rsidR="00A51CC3" w:rsidRDefault="00A51CC3" w:rsidP="00A51CC3">
      <w:pPr>
        <w:pStyle w:val="NoSpacing"/>
        <w:rPr>
          <w:rFonts w:ascii="Arial" w:hAnsi="Arial" w:cs="Arial"/>
        </w:rPr>
      </w:pPr>
      <w:r w:rsidRPr="00A51CC3">
        <w:rPr>
          <w:rFonts w:ascii="Arial" w:hAnsi="Arial" w:cs="Arial"/>
        </w:rPr>
        <w:lastRenderedPageBreak/>
        <w:t>We may need to undertake a site survey to assess the application. We will contact you or your non-household customer, where you’ve given us permission to do so, to arrange the survey as appropriate.</w:t>
      </w:r>
    </w:p>
    <w:p w14:paraId="68F97E64" w14:textId="0A72525C" w:rsidR="00A51CC3" w:rsidRDefault="00A51CC3" w:rsidP="00A51CC3">
      <w:pPr>
        <w:pStyle w:val="NoSpacing"/>
        <w:rPr>
          <w:rFonts w:ascii="Arial" w:hAnsi="Arial" w:cs="Arial"/>
        </w:rPr>
      </w:pPr>
    </w:p>
    <w:p w14:paraId="7E04522C" w14:textId="77777777" w:rsidR="00A51CC3" w:rsidRDefault="00A51CC3" w:rsidP="00A51CC3">
      <w:pPr>
        <w:pStyle w:val="NoSpacing"/>
        <w:rPr>
          <w:rFonts w:ascii="Arial" w:hAnsi="Arial" w:cs="Arial"/>
        </w:rPr>
      </w:pPr>
      <w:r w:rsidRPr="00A51CC3">
        <w:rPr>
          <w:rFonts w:ascii="Arial" w:hAnsi="Arial" w:cs="Arial"/>
        </w:rPr>
        <w:t xml:space="preserve">If sewerage modelling or other studies are necessary to complete the assessment, it’s likely that we will apply additional charges which will be priced on application. </w:t>
      </w:r>
    </w:p>
    <w:p w14:paraId="2B5FC9C9" w14:textId="77777777" w:rsidR="00A51CC3" w:rsidRDefault="00A51CC3" w:rsidP="00A51CC3">
      <w:pPr>
        <w:pStyle w:val="NoSpacing"/>
        <w:rPr>
          <w:rFonts w:ascii="Arial" w:hAnsi="Arial" w:cs="Arial"/>
        </w:rPr>
      </w:pPr>
    </w:p>
    <w:p w14:paraId="17870ED9" w14:textId="77777777" w:rsidR="00A51CC3" w:rsidRDefault="00A51CC3" w:rsidP="00A51CC3">
      <w:pPr>
        <w:pStyle w:val="NoSpacing"/>
        <w:rPr>
          <w:rFonts w:ascii="Arial" w:hAnsi="Arial" w:cs="Arial"/>
        </w:rPr>
      </w:pPr>
      <w:r w:rsidRPr="00A51CC3">
        <w:rPr>
          <w:rFonts w:ascii="Arial" w:hAnsi="Arial" w:cs="Arial"/>
        </w:rPr>
        <w:t>If details of the application need to be referred to the Environment Agency or any other appropriate agency/</w:t>
      </w:r>
      <w:proofErr w:type="gramStart"/>
      <w:r w:rsidRPr="00A51CC3">
        <w:rPr>
          <w:rFonts w:ascii="Arial" w:hAnsi="Arial" w:cs="Arial"/>
        </w:rPr>
        <w:t>body</w:t>
      </w:r>
      <w:proofErr w:type="gramEnd"/>
      <w:r w:rsidRPr="00A51CC3">
        <w:rPr>
          <w:rFonts w:ascii="Arial" w:hAnsi="Arial" w:cs="Arial"/>
        </w:rPr>
        <w:t xml:space="preserve"> we will let you and your non-household customer know and keep both of you updated regarding any communication and progress relating to the referral. </w:t>
      </w:r>
    </w:p>
    <w:p w14:paraId="507B26C7" w14:textId="77777777" w:rsidR="00A51CC3" w:rsidRDefault="00A51CC3" w:rsidP="00A51CC3">
      <w:pPr>
        <w:pStyle w:val="NoSpacing"/>
        <w:rPr>
          <w:rFonts w:ascii="Arial" w:hAnsi="Arial" w:cs="Arial"/>
        </w:rPr>
      </w:pPr>
    </w:p>
    <w:p w14:paraId="44AE1DF7" w14:textId="77777777" w:rsidR="00A51CC3" w:rsidRPr="00A51CC3" w:rsidRDefault="00A51CC3" w:rsidP="00A51CC3">
      <w:pPr>
        <w:pStyle w:val="NoSpacing"/>
        <w:rPr>
          <w:rFonts w:ascii="Arial" w:hAnsi="Arial" w:cs="Arial"/>
          <w:b/>
        </w:rPr>
      </w:pPr>
      <w:r w:rsidRPr="00A51CC3">
        <w:rPr>
          <w:rFonts w:ascii="Arial" w:hAnsi="Arial" w:cs="Arial"/>
          <w:b/>
        </w:rPr>
        <w:t xml:space="preserve">Exclusions </w:t>
      </w:r>
    </w:p>
    <w:p w14:paraId="5ECE4685" w14:textId="4203179F" w:rsidR="00A51CC3" w:rsidRPr="00A51CC3" w:rsidRDefault="00A51CC3" w:rsidP="00A51CC3">
      <w:pPr>
        <w:pStyle w:val="NoSpacing"/>
        <w:rPr>
          <w:rFonts w:ascii="Arial" w:hAnsi="Arial" w:cs="Arial"/>
        </w:rPr>
      </w:pPr>
      <w:r w:rsidRPr="00A51CC3">
        <w:rPr>
          <w:rFonts w:ascii="Arial" w:hAnsi="Arial" w:cs="Arial"/>
        </w:rPr>
        <w:t xml:space="preserve">We will not register short term consents with the market operator. All short-term discharges will be treated as non-primary charges and calculation methods can be found in </w:t>
      </w:r>
      <w:r w:rsidRPr="00934FB2">
        <w:rPr>
          <w:rFonts w:ascii="Arial" w:hAnsi="Arial" w:cs="Arial"/>
        </w:rPr>
        <w:t>B.</w:t>
      </w:r>
      <w:r w:rsidR="00934FB2" w:rsidRPr="00934FB2">
        <w:rPr>
          <w:rFonts w:ascii="Arial" w:hAnsi="Arial" w:cs="Arial"/>
        </w:rPr>
        <w:t>2.0</w:t>
      </w:r>
      <w:r w:rsidRPr="00934FB2">
        <w:rPr>
          <w:rFonts w:ascii="Arial" w:hAnsi="Arial" w:cs="Arial"/>
        </w:rPr>
        <w:t xml:space="preserve"> Trade Effluent charges</w:t>
      </w:r>
      <w:r w:rsidR="00934FB2">
        <w:rPr>
          <w:rFonts w:ascii="Arial" w:hAnsi="Arial" w:cs="Arial"/>
        </w:rPr>
        <w:t>.</w:t>
      </w:r>
    </w:p>
    <w:p w14:paraId="36342B6A" w14:textId="4361B725" w:rsidR="00A51CC3" w:rsidRDefault="006A5E24" w:rsidP="00A51CC3">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9376" behindDoc="0" locked="0" layoutInCell="1" allowOverlap="1" wp14:anchorId="1B8A022C" wp14:editId="4B6CD051">
                <wp:simplePos x="0" y="0"/>
                <wp:positionH relativeFrom="column">
                  <wp:posOffset>-857250</wp:posOffset>
                </wp:positionH>
                <wp:positionV relativeFrom="paragraph">
                  <wp:posOffset>187325</wp:posOffset>
                </wp:positionV>
                <wp:extent cx="7418070" cy="361666"/>
                <wp:effectExtent l="0" t="0" r="0" b="635"/>
                <wp:wrapNone/>
                <wp:docPr id="42" name="Text Box 4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A6EC22A" w14:textId="34DCAF85" w:rsidR="007A7A0C" w:rsidRPr="004616F3" w:rsidRDefault="007A7A0C" w:rsidP="006A5E24">
                            <w:pPr>
                              <w:pStyle w:val="NoSpacing"/>
                              <w:rPr>
                                <w:rFonts w:ascii="Arial" w:hAnsi="Arial" w:cs="Arial"/>
                                <w:color w:val="FFFFFF" w:themeColor="background1"/>
                                <w:sz w:val="32"/>
                              </w:rPr>
                            </w:pPr>
                            <w:r>
                              <w:rPr>
                                <w:rFonts w:ascii="Arial" w:hAnsi="Arial" w:cs="Arial"/>
                                <w:color w:val="FFFFFF" w:themeColor="background1"/>
                                <w:sz w:val="32"/>
                              </w:rPr>
                              <w:t>C.1.4 Assessing variations for trade effluent consents</w:t>
                            </w:r>
                          </w:p>
                          <w:p w14:paraId="061BBDBF" w14:textId="77777777" w:rsidR="007A7A0C" w:rsidRPr="004616F3" w:rsidRDefault="007A7A0C" w:rsidP="006A5E24">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A022C" id="Text Box 42" o:spid="_x0000_s1067" type="#_x0000_t202" style="position:absolute;margin-left:-67.5pt;margin-top:14.75pt;width:584.1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" fillcolor="#069" stroked="f" strokeweight=".5pt">
                <v:textbox>
                  <w:txbxContent>
                    <w:p w14:paraId="7A6EC22A" w14:textId="34DCAF85" w:rsidR="007A7A0C" w:rsidRPr="004616F3" w:rsidRDefault="007A7A0C" w:rsidP="006A5E24">
                      <w:pPr>
                        <w:pStyle w:val="NoSpacing"/>
                        <w:rPr>
                          <w:rFonts w:ascii="Arial" w:hAnsi="Arial" w:cs="Arial"/>
                          <w:color w:val="FFFFFF" w:themeColor="background1"/>
                          <w:sz w:val="32"/>
                        </w:rPr>
                      </w:pPr>
                      <w:r>
                        <w:rPr>
                          <w:rFonts w:ascii="Arial" w:hAnsi="Arial" w:cs="Arial"/>
                          <w:color w:val="FFFFFF" w:themeColor="background1"/>
                          <w:sz w:val="32"/>
                        </w:rPr>
                        <w:t>C.1.4 Assessing variations for trade effluent consents</w:t>
                      </w:r>
                    </w:p>
                    <w:p w14:paraId="061BBDBF" w14:textId="77777777" w:rsidR="007A7A0C" w:rsidRPr="004616F3" w:rsidRDefault="007A7A0C" w:rsidP="006A5E24">
                      <w:pPr>
                        <w:pStyle w:val="NoSpacing"/>
                        <w:rPr>
                          <w:rFonts w:ascii="Arial" w:hAnsi="Arial" w:cs="Arial"/>
                          <w:color w:val="FFFFFF" w:themeColor="background1"/>
                          <w:sz w:val="32"/>
                        </w:rPr>
                      </w:pPr>
                    </w:p>
                  </w:txbxContent>
                </v:textbox>
              </v:shape>
            </w:pict>
          </mc:Fallback>
        </mc:AlternateContent>
      </w:r>
    </w:p>
    <w:p w14:paraId="1B4B161A" w14:textId="1761AF90" w:rsidR="006A5E24" w:rsidRDefault="006A5E24" w:rsidP="00A51CC3">
      <w:pPr>
        <w:pStyle w:val="NoSpacing"/>
        <w:rPr>
          <w:rFonts w:ascii="Arial" w:hAnsi="Arial" w:cs="Arial"/>
        </w:rPr>
      </w:pPr>
    </w:p>
    <w:p w14:paraId="31A882FD" w14:textId="6B0A5B2F" w:rsidR="006A5E24" w:rsidRDefault="006A5E24" w:rsidP="00A51CC3">
      <w:pPr>
        <w:pStyle w:val="NoSpacing"/>
        <w:rPr>
          <w:rFonts w:ascii="Arial" w:hAnsi="Arial" w:cs="Arial"/>
        </w:rPr>
      </w:pPr>
    </w:p>
    <w:p w14:paraId="07590A3F" w14:textId="7DEAC336" w:rsidR="00CE044B" w:rsidRDefault="00CE044B" w:rsidP="00CE044B">
      <w:pPr>
        <w:rPr>
          <w:rFonts w:ascii="Arial" w:hAnsi="Arial" w:cs="Arial"/>
        </w:rPr>
      </w:pPr>
    </w:p>
    <w:p w14:paraId="426FCEA8" w14:textId="77777777" w:rsidR="00CE044B" w:rsidRDefault="00CE044B" w:rsidP="00CE044B">
      <w:pPr>
        <w:rPr>
          <w:rFonts w:ascii="Arial" w:hAnsi="Arial" w:cs="Arial"/>
        </w:rPr>
      </w:pPr>
      <w:r w:rsidRPr="00CE044B">
        <w:rPr>
          <w:rFonts w:ascii="Arial" w:hAnsi="Arial" w:cs="Arial"/>
        </w:rPr>
        <w:t xml:space="preserve">You can request a change to a trade effluent consent on behalf of your non-household customer, commonly known as a variation request. </w:t>
      </w:r>
    </w:p>
    <w:p w14:paraId="324FF4E4" w14:textId="410E4D3B" w:rsidR="00CE044B" w:rsidRDefault="00CE044B" w:rsidP="00CE044B">
      <w:pPr>
        <w:rPr>
          <w:rFonts w:ascii="Arial" w:hAnsi="Arial" w:cs="Arial"/>
        </w:rPr>
      </w:pPr>
      <w:r w:rsidRPr="00CE044B">
        <w:rPr>
          <w:rFonts w:ascii="Arial" w:hAnsi="Arial" w:cs="Arial"/>
        </w:rPr>
        <w:t>An application fee will be charged in relation to each application made. In addition to this, if samples are required to assess the application, we will also charge you for each sample that we take as detailed below. If sewerage modelling is required, we will charge on a price on application basis. Abortive charges apply in line with our general conditions where we have arranged a site survey or sampling visit. Tariffs will be charged, and you will be liable for, in line with the conditions set out below.</w:t>
      </w:r>
    </w:p>
    <w:tbl>
      <w:tblPr>
        <w:tblStyle w:val="TableGrid"/>
        <w:tblW w:w="8518" w:type="dxa"/>
        <w:tblInd w:w="250" w:type="dxa"/>
        <w:tblLook w:val="04A0" w:firstRow="1" w:lastRow="0" w:firstColumn="1" w:lastColumn="0" w:noHBand="0" w:noVBand="1"/>
      </w:tblPr>
      <w:tblGrid>
        <w:gridCol w:w="3108"/>
        <w:gridCol w:w="1793"/>
        <w:gridCol w:w="1815"/>
        <w:gridCol w:w="1802"/>
      </w:tblGrid>
      <w:tr w:rsidR="009A79FB" w14:paraId="3312F1CE" w14:textId="77777777" w:rsidTr="00B84D30">
        <w:trPr>
          <w:trHeight w:val="567"/>
        </w:trPr>
        <w:tc>
          <w:tcPr>
            <w:tcW w:w="3108" w:type="dxa"/>
            <w:shd w:val="clear" w:color="auto" w:fill="006699"/>
            <w:vAlign w:val="center"/>
          </w:tcPr>
          <w:p w14:paraId="3E0A8B5B" w14:textId="77777777" w:rsidR="009A79FB" w:rsidRPr="00A547F3" w:rsidRDefault="009A79FB" w:rsidP="00B84D30">
            <w:pPr>
              <w:tabs>
                <w:tab w:val="left" w:pos="939"/>
              </w:tabs>
              <w:rPr>
                <w:rFonts w:ascii="Arial" w:hAnsi="Arial" w:cs="Arial"/>
                <w:b/>
                <w:bCs/>
                <w:color w:val="FFFFFF" w:themeColor="background1"/>
              </w:rPr>
            </w:pPr>
            <w:r w:rsidRPr="00A547F3">
              <w:rPr>
                <w:rFonts w:ascii="Arial" w:hAnsi="Arial" w:cs="Arial"/>
                <w:b/>
                <w:bCs/>
                <w:color w:val="FFFFFF" w:themeColor="background1"/>
              </w:rPr>
              <w:t>Assessing applications for trade effluent consents</w:t>
            </w:r>
          </w:p>
        </w:tc>
        <w:tc>
          <w:tcPr>
            <w:tcW w:w="1793" w:type="dxa"/>
            <w:shd w:val="clear" w:color="auto" w:fill="006699"/>
            <w:vAlign w:val="center"/>
          </w:tcPr>
          <w:p w14:paraId="3590F408"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Trade effluent consent fee</w:t>
            </w:r>
          </w:p>
        </w:tc>
        <w:tc>
          <w:tcPr>
            <w:tcW w:w="1815" w:type="dxa"/>
            <w:shd w:val="clear" w:color="auto" w:fill="006699"/>
            <w:vAlign w:val="center"/>
          </w:tcPr>
          <w:p w14:paraId="14EEA5CF"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c>
          <w:tcPr>
            <w:tcW w:w="1802" w:type="dxa"/>
            <w:shd w:val="clear" w:color="auto" w:fill="006699"/>
            <w:vAlign w:val="center"/>
          </w:tcPr>
          <w:p w14:paraId="225BB3F1"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Sewerage modelling</w:t>
            </w:r>
          </w:p>
        </w:tc>
      </w:tr>
      <w:tr w:rsidR="009A79FB" w14:paraId="4FE56931" w14:textId="77777777" w:rsidTr="00B84D30">
        <w:trPr>
          <w:trHeight w:val="567"/>
        </w:trPr>
        <w:tc>
          <w:tcPr>
            <w:tcW w:w="3108" w:type="dxa"/>
            <w:vAlign w:val="center"/>
          </w:tcPr>
          <w:p w14:paraId="78D329B9" w14:textId="022817FA" w:rsidR="009A79FB" w:rsidRDefault="009A79FB" w:rsidP="00B84D30">
            <w:pPr>
              <w:tabs>
                <w:tab w:val="left" w:pos="939"/>
              </w:tabs>
              <w:rPr>
                <w:rFonts w:ascii="Arial" w:hAnsi="Arial" w:cs="Arial"/>
              </w:rPr>
            </w:pPr>
            <w:r>
              <w:rPr>
                <w:rFonts w:ascii="Arial" w:hAnsi="Arial" w:cs="Arial"/>
              </w:rPr>
              <w:t>Application fee</w:t>
            </w:r>
          </w:p>
        </w:tc>
        <w:tc>
          <w:tcPr>
            <w:tcW w:w="1793" w:type="dxa"/>
            <w:vAlign w:val="center"/>
          </w:tcPr>
          <w:p w14:paraId="57F49FC2" w14:textId="6352DAE5" w:rsidR="009A79FB" w:rsidRDefault="009A79FB" w:rsidP="00B84D30">
            <w:pPr>
              <w:tabs>
                <w:tab w:val="left" w:pos="939"/>
              </w:tabs>
              <w:jc w:val="center"/>
              <w:rPr>
                <w:rFonts w:ascii="Arial" w:hAnsi="Arial" w:cs="Arial"/>
              </w:rPr>
            </w:pPr>
            <w:r>
              <w:rPr>
                <w:rFonts w:ascii="Arial" w:hAnsi="Arial" w:cs="Arial"/>
              </w:rPr>
              <w:t>£</w:t>
            </w:r>
            <w:r w:rsidR="002A4393">
              <w:rPr>
                <w:rFonts w:ascii="Arial" w:hAnsi="Arial" w:cs="Arial"/>
              </w:rPr>
              <w:t>93</w:t>
            </w:r>
            <w:r>
              <w:rPr>
                <w:rFonts w:ascii="Arial" w:hAnsi="Arial" w:cs="Arial"/>
              </w:rPr>
              <w:t xml:space="preserve">           </w:t>
            </w:r>
          </w:p>
        </w:tc>
        <w:tc>
          <w:tcPr>
            <w:tcW w:w="1815" w:type="dxa"/>
            <w:vAlign w:val="center"/>
          </w:tcPr>
          <w:p w14:paraId="5EA1B190" w14:textId="6C568F39" w:rsidR="009A79FB" w:rsidRDefault="009A79FB" w:rsidP="00B84D30">
            <w:pPr>
              <w:tabs>
                <w:tab w:val="left" w:pos="939"/>
              </w:tabs>
              <w:jc w:val="center"/>
              <w:rPr>
                <w:rFonts w:ascii="Arial" w:hAnsi="Arial" w:cs="Arial"/>
              </w:rPr>
            </w:pPr>
            <w:r>
              <w:rPr>
                <w:rFonts w:ascii="Arial" w:hAnsi="Arial" w:cs="Arial"/>
              </w:rPr>
              <w:t>£</w:t>
            </w:r>
            <w:r w:rsidR="002A4393">
              <w:rPr>
                <w:rFonts w:ascii="Arial" w:hAnsi="Arial" w:cs="Arial"/>
              </w:rPr>
              <w:t>43</w:t>
            </w:r>
          </w:p>
        </w:tc>
        <w:tc>
          <w:tcPr>
            <w:tcW w:w="1802" w:type="dxa"/>
            <w:vAlign w:val="center"/>
          </w:tcPr>
          <w:p w14:paraId="7C25C437" w14:textId="77777777" w:rsidR="009A79FB" w:rsidRDefault="009A79FB" w:rsidP="00B84D30">
            <w:pPr>
              <w:tabs>
                <w:tab w:val="left" w:pos="939"/>
              </w:tabs>
              <w:jc w:val="center"/>
              <w:rPr>
                <w:rFonts w:ascii="Arial" w:hAnsi="Arial" w:cs="Arial"/>
              </w:rPr>
            </w:pPr>
            <w:r>
              <w:rPr>
                <w:rFonts w:ascii="Arial" w:hAnsi="Arial" w:cs="Arial"/>
              </w:rPr>
              <w:t>POA</w:t>
            </w:r>
          </w:p>
        </w:tc>
      </w:tr>
      <w:tr w:rsidR="009A79FB" w14:paraId="1C6C7143" w14:textId="77777777" w:rsidTr="00B84D30">
        <w:trPr>
          <w:trHeight w:val="567"/>
        </w:trPr>
        <w:tc>
          <w:tcPr>
            <w:tcW w:w="3108" w:type="dxa"/>
            <w:vAlign w:val="center"/>
          </w:tcPr>
          <w:p w14:paraId="43188F35" w14:textId="77777777" w:rsidR="009A79FB" w:rsidRDefault="009A79FB" w:rsidP="00B84D30">
            <w:pPr>
              <w:tabs>
                <w:tab w:val="left" w:pos="939"/>
              </w:tabs>
              <w:rPr>
                <w:rFonts w:ascii="Arial" w:hAnsi="Arial" w:cs="Arial"/>
              </w:rPr>
            </w:pPr>
            <w:r>
              <w:rPr>
                <w:rFonts w:ascii="Arial" w:hAnsi="Arial" w:cs="Arial"/>
              </w:rPr>
              <w:t>Sample fee</w:t>
            </w:r>
          </w:p>
        </w:tc>
        <w:tc>
          <w:tcPr>
            <w:tcW w:w="1793" w:type="dxa"/>
            <w:vAlign w:val="center"/>
          </w:tcPr>
          <w:p w14:paraId="203ABDCC" w14:textId="4D306395" w:rsidR="009A79FB" w:rsidRDefault="009A79FB" w:rsidP="00B84D30">
            <w:pPr>
              <w:tabs>
                <w:tab w:val="left" w:pos="939"/>
              </w:tabs>
              <w:jc w:val="center"/>
              <w:rPr>
                <w:rFonts w:ascii="Arial" w:hAnsi="Arial" w:cs="Arial"/>
              </w:rPr>
            </w:pPr>
            <w:r>
              <w:rPr>
                <w:rFonts w:ascii="Arial" w:hAnsi="Arial" w:cs="Arial"/>
              </w:rPr>
              <w:t>£11</w:t>
            </w:r>
            <w:r w:rsidR="002A4393">
              <w:rPr>
                <w:rFonts w:ascii="Arial" w:hAnsi="Arial" w:cs="Arial"/>
              </w:rPr>
              <w:t>2</w:t>
            </w:r>
            <w:r>
              <w:rPr>
                <w:rFonts w:ascii="Arial" w:hAnsi="Arial" w:cs="Arial"/>
              </w:rPr>
              <w:t xml:space="preserve">              </w:t>
            </w:r>
          </w:p>
        </w:tc>
        <w:tc>
          <w:tcPr>
            <w:tcW w:w="1815" w:type="dxa"/>
            <w:vAlign w:val="center"/>
          </w:tcPr>
          <w:p w14:paraId="088FF0E9" w14:textId="761AA917" w:rsidR="009A79FB" w:rsidRDefault="009A79FB" w:rsidP="00B84D30">
            <w:pPr>
              <w:tabs>
                <w:tab w:val="left" w:pos="939"/>
              </w:tabs>
              <w:jc w:val="center"/>
              <w:rPr>
                <w:rFonts w:ascii="Arial" w:hAnsi="Arial" w:cs="Arial"/>
              </w:rPr>
            </w:pPr>
            <w:r>
              <w:rPr>
                <w:rFonts w:ascii="Arial" w:hAnsi="Arial" w:cs="Arial"/>
              </w:rPr>
              <w:t>£</w:t>
            </w:r>
            <w:r w:rsidR="002A4393">
              <w:rPr>
                <w:rFonts w:ascii="Arial" w:hAnsi="Arial" w:cs="Arial"/>
              </w:rPr>
              <w:t>79</w:t>
            </w:r>
          </w:p>
        </w:tc>
        <w:tc>
          <w:tcPr>
            <w:tcW w:w="1802" w:type="dxa"/>
            <w:vAlign w:val="center"/>
          </w:tcPr>
          <w:p w14:paraId="1519DE28" w14:textId="77777777" w:rsidR="009A79FB" w:rsidRDefault="009A79FB" w:rsidP="00B84D30">
            <w:pPr>
              <w:tabs>
                <w:tab w:val="left" w:pos="939"/>
              </w:tabs>
              <w:jc w:val="center"/>
              <w:rPr>
                <w:rFonts w:ascii="Arial" w:hAnsi="Arial" w:cs="Arial"/>
              </w:rPr>
            </w:pPr>
            <w:r>
              <w:rPr>
                <w:rFonts w:ascii="Arial" w:hAnsi="Arial" w:cs="Arial"/>
              </w:rPr>
              <w:t>POA</w:t>
            </w:r>
          </w:p>
        </w:tc>
      </w:tr>
    </w:tbl>
    <w:p w14:paraId="26F3CD47" w14:textId="7216D164" w:rsidR="00CE044B" w:rsidRDefault="00CE044B" w:rsidP="00CE044B">
      <w:pPr>
        <w:pStyle w:val="NoSpacing"/>
      </w:pPr>
    </w:p>
    <w:p w14:paraId="706BD6CC" w14:textId="740374CC" w:rsidR="00CE044B" w:rsidRDefault="00CE044B" w:rsidP="00CE044B">
      <w:pPr>
        <w:pStyle w:val="NoSpacing"/>
        <w:rPr>
          <w:rFonts w:ascii="Arial" w:hAnsi="Arial" w:cs="Arial"/>
        </w:rPr>
      </w:pPr>
      <w:r w:rsidRPr="00CE044B">
        <w:rPr>
          <w:rFonts w:ascii="Arial" w:hAnsi="Arial" w:cs="Arial"/>
        </w:rPr>
        <w:t>Note: a request beyond the standard service may require a price on application</w:t>
      </w:r>
      <w:r>
        <w:rPr>
          <w:rFonts w:ascii="Arial" w:hAnsi="Arial" w:cs="Arial"/>
        </w:rPr>
        <w:t>.</w:t>
      </w:r>
    </w:p>
    <w:p w14:paraId="43A4B989" w14:textId="216E8753" w:rsidR="00CE044B" w:rsidRDefault="00CE044B" w:rsidP="00CE044B">
      <w:pPr>
        <w:pStyle w:val="NoSpacing"/>
        <w:rPr>
          <w:rFonts w:ascii="Arial" w:hAnsi="Arial" w:cs="Arial"/>
        </w:rPr>
      </w:pPr>
    </w:p>
    <w:p w14:paraId="3EC3CCAA" w14:textId="77777777" w:rsidR="00CE044B" w:rsidRPr="003A38E1" w:rsidRDefault="00CE044B" w:rsidP="00CE044B">
      <w:pPr>
        <w:pStyle w:val="NoSpacing"/>
        <w:rPr>
          <w:rFonts w:ascii="Arial" w:hAnsi="Arial" w:cs="Arial"/>
          <w:b/>
        </w:rPr>
      </w:pPr>
      <w:r w:rsidRPr="003A38E1">
        <w:rPr>
          <w:rFonts w:ascii="Arial" w:hAnsi="Arial" w:cs="Arial"/>
          <w:b/>
        </w:rPr>
        <w:t>Service requests and ordering</w:t>
      </w:r>
    </w:p>
    <w:p w14:paraId="7CBD2CA7" w14:textId="180BF7A6" w:rsidR="00CE044B" w:rsidRDefault="00CE044B" w:rsidP="00CE044B">
      <w:pPr>
        <w:pStyle w:val="NoSpacing"/>
        <w:rPr>
          <w:rFonts w:ascii="Arial" w:hAnsi="Arial" w:cs="Arial"/>
        </w:rPr>
      </w:pPr>
      <w:r w:rsidRPr="003A38E1">
        <w:rPr>
          <w:rFonts w:ascii="Arial" w:hAnsi="Arial" w:cs="Arial"/>
        </w:rPr>
        <w:t xml:space="preserve">If the request form is materially complete, we will review it, to decide if we can issue a variation and any conditions that need to be applied. If it isn’t materially complete, we will tell you what information we need. If we do not receive the information within 5 business </w:t>
      </w:r>
      <w:r w:rsidR="00934FB2" w:rsidRPr="003A38E1">
        <w:rPr>
          <w:rFonts w:ascii="Arial" w:hAnsi="Arial" w:cs="Arial"/>
        </w:rPr>
        <w:t>days,</w:t>
      </w:r>
      <w:r w:rsidRPr="003A38E1">
        <w:rPr>
          <w:rFonts w:ascii="Arial" w:hAnsi="Arial" w:cs="Arial"/>
        </w:rPr>
        <w:t xml:space="preserve"> we will reject the application and you will need to restart the process.</w:t>
      </w:r>
      <w:r w:rsidRPr="00CE044B">
        <w:rPr>
          <w:rFonts w:ascii="Arial" w:hAnsi="Arial" w:cs="Arial"/>
        </w:rPr>
        <w:t xml:space="preserve"> </w:t>
      </w:r>
    </w:p>
    <w:p w14:paraId="0AFA15EF" w14:textId="77777777" w:rsidR="00CE044B" w:rsidRDefault="00CE044B" w:rsidP="00CE044B">
      <w:pPr>
        <w:pStyle w:val="NoSpacing"/>
        <w:rPr>
          <w:rFonts w:ascii="Arial" w:hAnsi="Arial" w:cs="Arial"/>
        </w:rPr>
      </w:pPr>
    </w:p>
    <w:p w14:paraId="511B6EE7" w14:textId="77777777" w:rsidR="00CE044B" w:rsidRDefault="00CE044B" w:rsidP="00CE044B">
      <w:pPr>
        <w:pStyle w:val="NoSpacing"/>
        <w:rPr>
          <w:rFonts w:ascii="Arial" w:hAnsi="Arial" w:cs="Arial"/>
        </w:rPr>
      </w:pPr>
      <w:r w:rsidRPr="00CE044B">
        <w:rPr>
          <w:rFonts w:ascii="Arial" w:hAnsi="Arial" w:cs="Arial"/>
        </w:rPr>
        <w:t xml:space="preserve">Consents cannot be transferred to a new owner or occupier of the premises. New owners or occupiers of the premises must apply for a consent if they would like permission to discharge trade effluent. </w:t>
      </w:r>
    </w:p>
    <w:p w14:paraId="07E87C1E" w14:textId="77777777" w:rsidR="00CE044B" w:rsidRDefault="00CE044B" w:rsidP="00CE044B">
      <w:pPr>
        <w:pStyle w:val="NoSpacing"/>
        <w:rPr>
          <w:rFonts w:ascii="Arial" w:hAnsi="Arial" w:cs="Arial"/>
        </w:rPr>
      </w:pPr>
    </w:p>
    <w:p w14:paraId="5B997203" w14:textId="77777777" w:rsidR="00CE044B" w:rsidRDefault="00CE044B" w:rsidP="00CE044B">
      <w:pPr>
        <w:pStyle w:val="NoSpacing"/>
        <w:rPr>
          <w:rFonts w:ascii="Arial" w:hAnsi="Arial" w:cs="Arial"/>
        </w:rPr>
      </w:pPr>
      <w:r w:rsidRPr="00CE044B">
        <w:rPr>
          <w:rFonts w:ascii="Arial" w:hAnsi="Arial" w:cs="Arial"/>
        </w:rPr>
        <w:t xml:space="preserve">Under section 125 of the Water Industry Act 1991, we may decide to change the conditions of a trade effluent consent at any time if we consider it necessary to do so </w:t>
      </w:r>
      <w:proofErr w:type="gramStart"/>
      <w:r w:rsidRPr="00CE044B">
        <w:rPr>
          <w:rFonts w:ascii="Arial" w:hAnsi="Arial" w:cs="Arial"/>
        </w:rPr>
        <w:t>in order to</w:t>
      </w:r>
      <w:proofErr w:type="gramEnd"/>
      <w:r w:rsidRPr="00CE044B">
        <w:rPr>
          <w:rFonts w:ascii="Arial" w:hAnsi="Arial" w:cs="Arial"/>
        </w:rPr>
        <w:t xml:space="preserve"> protect persons that are likely to be affected by the discharge. </w:t>
      </w:r>
    </w:p>
    <w:p w14:paraId="70036750" w14:textId="77777777" w:rsidR="009A79FB" w:rsidRDefault="009A79FB" w:rsidP="00CE044B">
      <w:pPr>
        <w:pStyle w:val="NoSpacing"/>
        <w:rPr>
          <w:rFonts w:ascii="Arial" w:hAnsi="Arial" w:cs="Arial"/>
          <w:b/>
        </w:rPr>
      </w:pPr>
    </w:p>
    <w:p w14:paraId="77A39681" w14:textId="77777777" w:rsidR="009A79FB" w:rsidRDefault="009A79FB" w:rsidP="00CE044B">
      <w:pPr>
        <w:pStyle w:val="NoSpacing"/>
        <w:rPr>
          <w:rFonts w:ascii="Arial" w:hAnsi="Arial" w:cs="Arial"/>
          <w:b/>
        </w:rPr>
      </w:pPr>
    </w:p>
    <w:p w14:paraId="623EDD79" w14:textId="77777777" w:rsidR="009A79FB" w:rsidRDefault="009A79FB" w:rsidP="00CE044B">
      <w:pPr>
        <w:pStyle w:val="NoSpacing"/>
        <w:rPr>
          <w:rFonts w:ascii="Arial" w:hAnsi="Arial" w:cs="Arial"/>
          <w:b/>
        </w:rPr>
      </w:pPr>
    </w:p>
    <w:p w14:paraId="032C7E7E" w14:textId="77777777" w:rsidR="009A79FB" w:rsidRDefault="009A79FB" w:rsidP="00CE044B">
      <w:pPr>
        <w:pStyle w:val="NoSpacing"/>
        <w:rPr>
          <w:rFonts w:ascii="Arial" w:hAnsi="Arial" w:cs="Arial"/>
          <w:b/>
        </w:rPr>
      </w:pPr>
    </w:p>
    <w:p w14:paraId="6B5773B4" w14:textId="20C365FE" w:rsidR="00CE044B" w:rsidRPr="00CE044B" w:rsidRDefault="00CE044B" w:rsidP="00CE044B">
      <w:pPr>
        <w:pStyle w:val="NoSpacing"/>
        <w:rPr>
          <w:rFonts w:ascii="Arial" w:hAnsi="Arial" w:cs="Arial"/>
          <w:b/>
        </w:rPr>
      </w:pPr>
      <w:r w:rsidRPr="00CE044B">
        <w:rPr>
          <w:rFonts w:ascii="Arial" w:hAnsi="Arial" w:cs="Arial"/>
          <w:b/>
        </w:rPr>
        <w:t xml:space="preserve">Abortive charges </w:t>
      </w:r>
    </w:p>
    <w:p w14:paraId="284A4ABA" w14:textId="14FEA9D1" w:rsidR="00CE044B" w:rsidRDefault="00CE044B" w:rsidP="00CE044B">
      <w:pPr>
        <w:pStyle w:val="NoSpacing"/>
        <w:rPr>
          <w:rFonts w:ascii="Arial" w:hAnsi="Arial" w:cs="Arial"/>
        </w:rPr>
      </w:pPr>
      <w:r w:rsidRPr="00CE044B">
        <w:rPr>
          <w:rFonts w:ascii="Arial" w:hAnsi="Arial" w:cs="Arial"/>
        </w:rPr>
        <w:t>Abortive charges apply to this service in line with our general conditions and may also apply where we have arranged a site survey or sampling visit. Tariffs are set out in the table above and you shall be liable for all such tariffs and charges.</w:t>
      </w:r>
    </w:p>
    <w:p w14:paraId="08C58049" w14:textId="1BD71D54" w:rsidR="00CE044B" w:rsidRDefault="00CE044B" w:rsidP="00CE044B">
      <w:pPr>
        <w:pStyle w:val="NoSpacing"/>
        <w:rPr>
          <w:rFonts w:ascii="Arial" w:hAnsi="Arial" w:cs="Arial"/>
        </w:rPr>
      </w:pPr>
    </w:p>
    <w:p w14:paraId="47636CCA" w14:textId="77777777" w:rsidR="00CE044B" w:rsidRPr="00CE044B" w:rsidRDefault="00CE044B" w:rsidP="00CE044B">
      <w:pPr>
        <w:pStyle w:val="NoSpacing"/>
        <w:rPr>
          <w:rFonts w:ascii="Arial" w:hAnsi="Arial" w:cs="Arial"/>
          <w:b/>
        </w:rPr>
      </w:pPr>
      <w:r w:rsidRPr="00CE044B">
        <w:rPr>
          <w:rFonts w:ascii="Arial" w:hAnsi="Arial" w:cs="Arial"/>
          <w:b/>
        </w:rPr>
        <w:t xml:space="preserve">Investigations </w:t>
      </w:r>
    </w:p>
    <w:p w14:paraId="6731165F" w14:textId="77777777" w:rsidR="00CE044B" w:rsidRDefault="00CE044B" w:rsidP="00CE044B">
      <w:pPr>
        <w:pStyle w:val="NoSpacing"/>
        <w:rPr>
          <w:rFonts w:ascii="Arial" w:hAnsi="Arial" w:cs="Arial"/>
        </w:rPr>
      </w:pPr>
      <w:r w:rsidRPr="00CE044B">
        <w:rPr>
          <w:rFonts w:ascii="Arial" w:hAnsi="Arial" w:cs="Arial"/>
        </w:rPr>
        <w:t xml:space="preserve">We may need to undertake a site survey to assess the application. We will contact you or your non-household customer, where you’ve given us permission to do so, to arrange the survey as appropriate. </w:t>
      </w:r>
    </w:p>
    <w:p w14:paraId="26ACEA7B" w14:textId="77777777" w:rsidR="00CE044B" w:rsidRDefault="00CE044B" w:rsidP="00CE044B">
      <w:pPr>
        <w:pStyle w:val="NoSpacing"/>
        <w:rPr>
          <w:rFonts w:ascii="Arial" w:hAnsi="Arial" w:cs="Arial"/>
        </w:rPr>
      </w:pPr>
    </w:p>
    <w:p w14:paraId="33750DBA" w14:textId="77777777" w:rsidR="00CE044B" w:rsidRDefault="00CE044B" w:rsidP="00CE044B">
      <w:pPr>
        <w:pStyle w:val="NoSpacing"/>
        <w:rPr>
          <w:rFonts w:ascii="Arial" w:hAnsi="Arial" w:cs="Arial"/>
        </w:rPr>
      </w:pPr>
      <w:r w:rsidRPr="00CE044B">
        <w:rPr>
          <w:rFonts w:ascii="Arial" w:hAnsi="Arial" w:cs="Arial"/>
        </w:rPr>
        <w:t xml:space="preserve">If sewerage modelling or other studies are necessary to complete the assessment, it’s likely that we will apply additional tariffs which will be priced on application. </w:t>
      </w:r>
    </w:p>
    <w:p w14:paraId="090ED59F" w14:textId="77777777" w:rsidR="00CE044B" w:rsidRDefault="00CE044B" w:rsidP="00CE044B">
      <w:pPr>
        <w:pStyle w:val="NoSpacing"/>
        <w:rPr>
          <w:rFonts w:ascii="Arial" w:hAnsi="Arial" w:cs="Arial"/>
        </w:rPr>
      </w:pPr>
    </w:p>
    <w:p w14:paraId="268CEAD2" w14:textId="6F2DD2F2" w:rsidR="00CE044B" w:rsidRDefault="00CE044B" w:rsidP="00CE044B">
      <w:pPr>
        <w:pStyle w:val="NoSpacing"/>
        <w:rPr>
          <w:rFonts w:ascii="Arial" w:hAnsi="Arial" w:cs="Arial"/>
        </w:rPr>
      </w:pPr>
      <w:r w:rsidRPr="00CE044B">
        <w:rPr>
          <w:rFonts w:ascii="Arial" w:hAnsi="Arial" w:cs="Arial"/>
        </w:rPr>
        <w:t>If details of the application need to be referred to the Environment Agency or any other appropriate agency or body, we will let you and your non-household customer know and keep both of you updated regarding any communication and progress relating to the referral.</w:t>
      </w:r>
    </w:p>
    <w:p w14:paraId="4C027E3B" w14:textId="45E0AD48" w:rsidR="0053040F" w:rsidRDefault="0053040F" w:rsidP="00CE044B">
      <w:pPr>
        <w:pStyle w:val="NoSpacing"/>
        <w:rPr>
          <w:rFonts w:ascii="Arial" w:hAnsi="Arial" w:cs="Arial"/>
        </w:rPr>
      </w:pPr>
    </w:p>
    <w:p w14:paraId="32D7777B" w14:textId="57649007" w:rsidR="0053040F" w:rsidRDefault="0053040F" w:rsidP="00CE044B">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1424" behindDoc="0" locked="0" layoutInCell="1" allowOverlap="1" wp14:anchorId="0F1AA454" wp14:editId="635611D1">
                <wp:simplePos x="0" y="0"/>
                <wp:positionH relativeFrom="column">
                  <wp:posOffset>-838200</wp:posOffset>
                </wp:positionH>
                <wp:positionV relativeFrom="paragraph">
                  <wp:posOffset>142875</wp:posOffset>
                </wp:positionV>
                <wp:extent cx="7418070" cy="361666"/>
                <wp:effectExtent l="0" t="0" r="0" b="635"/>
                <wp:wrapNone/>
                <wp:docPr id="43" name="Text Box 4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F0F7118" w14:textId="1B0A07C9"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C.1.5 Sampling &amp; analysis for trade effluent billing</w:t>
                            </w:r>
                          </w:p>
                          <w:p w14:paraId="5E725D2A" w14:textId="77777777" w:rsidR="007A7A0C" w:rsidRPr="004616F3" w:rsidRDefault="007A7A0C" w:rsidP="0053040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A454" id="Text Box 43" o:spid="_x0000_s1068" type="#_x0000_t202" style="position:absolute;margin-left:-66pt;margin-top:11.25pt;width:584.1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" fillcolor="#069" stroked="f" strokeweight=".5pt">
                <v:textbox>
                  <w:txbxContent>
                    <w:p w14:paraId="0F0F7118" w14:textId="1B0A07C9"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C.1.5 Sampling &amp; analysis for trade effluent billing</w:t>
                      </w:r>
                    </w:p>
                    <w:p w14:paraId="5E725D2A" w14:textId="77777777" w:rsidR="007A7A0C" w:rsidRPr="004616F3" w:rsidRDefault="007A7A0C" w:rsidP="0053040F">
                      <w:pPr>
                        <w:pStyle w:val="NoSpacing"/>
                        <w:rPr>
                          <w:rFonts w:ascii="Arial" w:hAnsi="Arial" w:cs="Arial"/>
                          <w:color w:val="FFFFFF" w:themeColor="background1"/>
                          <w:sz w:val="32"/>
                        </w:rPr>
                      </w:pPr>
                    </w:p>
                  </w:txbxContent>
                </v:textbox>
              </v:shape>
            </w:pict>
          </mc:Fallback>
        </mc:AlternateContent>
      </w:r>
    </w:p>
    <w:p w14:paraId="1A1139C1" w14:textId="21E173FC" w:rsidR="0053040F" w:rsidRDefault="0053040F" w:rsidP="0053040F">
      <w:pPr>
        <w:rPr>
          <w:rFonts w:ascii="Arial" w:hAnsi="Arial" w:cs="Arial"/>
        </w:rPr>
      </w:pPr>
    </w:p>
    <w:p w14:paraId="612B6057" w14:textId="581BC29E" w:rsidR="0053040F" w:rsidRDefault="0053040F" w:rsidP="0053040F"/>
    <w:p w14:paraId="3C21A260" w14:textId="77777777" w:rsidR="0053040F" w:rsidRDefault="0053040F" w:rsidP="0053040F">
      <w:pPr>
        <w:rPr>
          <w:rFonts w:ascii="Arial" w:hAnsi="Arial" w:cs="Arial"/>
        </w:rPr>
      </w:pPr>
      <w:r w:rsidRPr="0053040F">
        <w:rPr>
          <w:rFonts w:ascii="Arial" w:hAnsi="Arial" w:cs="Arial"/>
        </w:rPr>
        <w:t xml:space="preserve">Under the terms of a trade effluent consent your non-household customer must pay for any monitoring and analysis that we carry out. Following the issue of a trade effluent consent we will assess how trade effluent charges will be calculated. We will take samples and carry out an analysis to enable trade effluent billing. </w:t>
      </w:r>
    </w:p>
    <w:p w14:paraId="687E5612" w14:textId="77777777" w:rsidR="0053040F" w:rsidRDefault="0053040F" w:rsidP="0053040F">
      <w:pPr>
        <w:rPr>
          <w:rFonts w:ascii="Arial" w:hAnsi="Arial" w:cs="Arial"/>
        </w:rPr>
      </w:pPr>
      <w:r w:rsidRPr="0053040F">
        <w:rPr>
          <w:rFonts w:ascii="Arial" w:hAnsi="Arial" w:cs="Arial"/>
        </w:rPr>
        <w:t xml:space="preserve">We may take either: </w:t>
      </w:r>
    </w:p>
    <w:p w14:paraId="3EA23E93" w14:textId="77777777" w:rsidR="0053040F" w:rsidRDefault="0053040F" w:rsidP="0053040F">
      <w:pPr>
        <w:rPr>
          <w:rFonts w:ascii="Arial" w:hAnsi="Arial" w:cs="Arial"/>
        </w:rPr>
      </w:pPr>
      <w:r w:rsidRPr="0053040F">
        <w:rPr>
          <w:rFonts w:ascii="Arial" w:hAnsi="Arial" w:cs="Arial"/>
        </w:rPr>
        <w:sym w:font="Symbol" w:char="F0B7"/>
      </w:r>
      <w:r w:rsidRPr="0053040F">
        <w:rPr>
          <w:rFonts w:ascii="Arial" w:hAnsi="Arial" w:cs="Arial"/>
        </w:rPr>
        <w:t xml:space="preserve"> banding samples to allocate discharge to specific charging bands; or, </w:t>
      </w:r>
    </w:p>
    <w:p w14:paraId="5C86F93A" w14:textId="77777777" w:rsidR="0053040F" w:rsidRDefault="0053040F" w:rsidP="0053040F">
      <w:pPr>
        <w:rPr>
          <w:rFonts w:ascii="Arial" w:hAnsi="Arial" w:cs="Arial"/>
        </w:rPr>
      </w:pPr>
      <w:r w:rsidRPr="0053040F">
        <w:rPr>
          <w:rFonts w:ascii="Arial" w:hAnsi="Arial" w:cs="Arial"/>
        </w:rPr>
        <w:sym w:font="Symbol" w:char="F0B7"/>
      </w:r>
      <w:r w:rsidRPr="0053040F">
        <w:rPr>
          <w:rFonts w:ascii="Arial" w:hAnsi="Arial" w:cs="Arial"/>
        </w:rPr>
        <w:t xml:space="preserve"> billing samples, to determine the variable strength of the discharge for billing purposes. </w:t>
      </w:r>
    </w:p>
    <w:p w14:paraId="3C061F82" w14:textId="2B32C67A" w:rsidR="0053040F" w:rsidRDefault="0053040F" w:rsidP="0053040F">
      <w:pPr>
        <w:rPr>
          <w:rFonts w:ascii="Arial" w:hAnsi="Arial" w:cs="Arial"/>
        </w:rPr>
      </w:pPr>
      <w:r w:rsidRPr="0053040F">
        <w:rPr>
          <w:rFonts w:ascii="Arial" w:hAnsi="Arial" w:cs="Arial"/>
        </w:rPr>
        <w:t>Tariffs will be charged, and you will be liable for, in line with the conditions set out below.</w:t>
      </w:r>
    </w:p>
    <w:tbl>
      <w:tblPr>
        <w:tblStyle w:val="TableGrid"/>
        <w:tblW w:w="10348" w:type="dxa"/>
        <w:tblInd w:w="-572" w:type="dxa"/>
        <w:tblLook w:val="04A0" w:firstRow="1" w:lastRow="0" w:firstColumn="1" w:lastColumn="0" w:noHBand="0" w:noVBand="1"/>
      </w:tblPr>
      <w:tblGrid>
        <w:gridCol w:w="5245"/>
        <w:gridCol w:w="2268"/>
        <w:gridCol w:w="2835"/>
      </w:tblGrid>
      <w:tr w:rsidR="0053040F" w14:paraId="0B340261" w14:textId="77777777" w:rsidTr="0053040F">
        <w:trPr>
          <w:trHeight w:val="567"/>
        </w:trPr>
        <w:tc>
          <w:tcPr>
            <w:tcW w:w="5245" w:type="dxa"/>
            <w:shd w:val="clear" w:color="auto" w:fill="006699"/>
            <w:vAlign w:val="center"/>
          </w:tcPr>
          <w:p w14:paraId="46E2C48E" w14:textId="77777777" w:rsidR="0053040F" w:rsidRPr="00BF57F7" w:rsidRDefault="0053040F" w:rsidP="0053040F">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049B4D43" w14:textId="7B70EF3E" w:rsidR="0053040F" w:rsidRPr="00BF57F7"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54EFB65D" w14:textId="5DF25713" w:rsidR="0053040F"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53040F" w14:paraId="2A321F0E" w14:textId="77777777" w:rsidTr="0053040F">
        <w:trPr>
          <w:trHeight w:val="567"/>
        </w:trPr>
        <w:tc>
          <w:tcPr>
            <w:tcW w:w="5245" w:type="dxa"/>
            <w:vAlign w:val="center"/>
          </w:tcPr>
          <w:p w14:paraId="654BE8A0" w14:textId="43C1A584" w:rsidR="0053040F" w:rsidRDefault="0053040F" w:rsidP="0053040F">
            <w:pPr>
              <w:tabs>
                <w:tab w:val="left" w:pos="939"/>
              </w:tabs>
              <w:rPr>
                <w:rFonts w:ascii="Arial" w:hAnsi="Arial" w:cs="Arial"/>
              </w:rPr>
            </w:pPr>
            <w:r>
              <w:rPr>
                <w:rFonts w:ascii="Arial" w:hAnsi="Arial" w:cs="Arial"/>
              </w:rPr>
              <w:t>Sampling &amp; analysis for trade effluent billing</w:t>
            </w:r>
          </w:p>
        </w:tc>
        <w:tc>
          <w:tcPr>
            <w:tcW w:w="2268" w:type="dxa"/>
            <w:vAlign w:val="center"/>
          </w:tcPr>
          <w:p w14:paraId="400A3E24" w14:textId="5ECFC17F" w:rsidR="0053040F" w:rsidRDefault="0053040F" w:rsidP="0053040F">
            <w:pPr>
              <w:tabs>
                <w:tab w:val="left" w:pos="939"/>
              </w:tabs>
              <w:jc w:val="center"/>
              <w:rPr>
                <w:rFonts w:ascii="Arial" w:hAnsi="Arial" w:cs="Arial"/>
              </w:rPr>
            </w:pPr>
            <w:r>
              <w:rPr>
                <w:rFonts w:ascii="Arial" w:hAnsi="Arial" w:cs="Arial"/>
              </w:rPr>
              <w:t>£</w:t>
            </w:r>
            <w:r w:rsidR="00787200">
              <w:rPr>
                <w:rFonts w:ascii="Arial" w:hAnsi="Arial" w:cs="Arial"/>
              </w:rPr>
              <w:t>11</w:t>
            </w:r>
            <w:r w:rsidR="00FE281C">
              <w:rPr>
                <w:rFonts w:ascii="Arial" w:hAnsi="Arial" w:cs="Arial"/>
              </w:rPr>
              <w:t>2</w:t>
            </w:r>
          </w:p>
          <w:p w14:paraId="2C283478" w14:textId="22F5855E" w:rsidR="0053040F" w:rsidRDefault="0053040F" w:rsidP="0053040F">
            <w:pPr>
              <w:tabs>
                <w:tab w:val="left" w:pos="939"/>
              </w:tabs>
              <w:jc w:val="center"/>
              <w:rPr>
                <w:rFonts w:ascii="Arial" w:hAnsi="Arial" w:cs="Arial"/>
              </w:rPr>
            </w:pPr>
            <w:r>
              <w:rPr>
                <w:rFonts w:ascii="Arial" w:hAnsi="Arial" w:cs="Arial"/>
              </w:rPr>
              <w:t>per sample</w:t>
            </w:r>
          </w:p>
        </w:tc>
        <w:tc>
          <w:tcPr>
            <w:tcW w:w="2835" w:type="dxa"/>
            <w:vAlign w:val="center"/>
          </w:tcPr>
          <w:p w14:paraId="1D719A1D" w14:textId="7007BF38" w:rsidR="0053040F" w:rsidRDefault="0053040F" w:rsidP="00787200">
            <w:pPr>
              <w:tabs>
                <w:tab w:val="left" w:pos="939"/>
              </w:tabs>
              <w:jc w:val="center"/>
              <w:rPr>
                <w:rFonts w:ascii="Arial" w:hAnsi="Arial" w:cs="Arial"/>
              </w:rPr>
            </w:pPr>
            <w:r>
              <w:rPr>
                <w:rFonts w:ascii="Arial" w:hAnsi="Arial" w:cs="Arial"/>
              </w:rPr>
              <w:t>£</w:t>
            </w:r>
            <w:r w:rsidR="00FE281C">
              <w:rPr>
                <w:rFonts w:ascii="Arial" w:hAnsi="Arial" w:cs="Arial"/>
              </w:rPr>
              <w:t>79</w:t>
            </w:r>
          </w:p>
        </w:tc>
      </w:tr>
    </w:tbl>
    <w:p w14:paraId="15F18CC0" w14:textId="6EB159A5" w:rsidR="0053040F" w:rsidRDefault="0053040F" w:rsidP="0053040F">
      <w:pPr>
        <w:pStyle w:val="NoSpacing"/>
      </w:pPr>
    </w:p>
    <w:p w14:paraId="24C8FC1D" w14:textId="391C8ED4" w:rsidR="0053040F" w:rsidRDefault="0053040F" w:rsidP="0053040F">
      <w:pPr>
        <w:pStyle w:val="NoSpacing"/>
        <w:rPr>
          <w:rFonts w:ascii="Arial" w:hAnsi="Arial" w:cs="Arial"/>
        </w:rPr>
      </w:pPr>
      <w:r w:rsidRPr="0053040F">
        <w:rPr>
          <w:rFonts w:ascii="Arial" w:hAnsi="Arial" w:cs="Arial"/>
        </w:rPr>
        <w:t>Note: a request beyond the standard service may require a price on application</w:t>
      </w:r>
      <w:r>
        <w:rPr>
          <w:rFonts w:ascii="Arial" w:hAnsi="Arial" w:cs="Arial"/>
        </w:rPr>
        <w:t>.</w:t>
      </w:r>
    </w:p>
    <w:p w14:paraId="17A023A0" w14:textId="758364F9" w:rsidR="0053040F" w:rsidRDefault="0053040F" w:rsidP="0053040F">
      <w:pPr>
        <w:pStyle w:val="NoSpacing"/>
        <w:rPr>
          <w:rFonts w:ascii="Arial" w:hAnsi="Arial" w:cs="Arial"/>
        </w:rPr>
      </w:pPr>
    </w:p>
    <w:p w14:paraId="62561C47" w14:textId="77777777" w:rsidR="0053040F" w:rsidRDefault="0053040F" w:rsidP="0053040F">
      <w:pPr>
        <w:pStyle w:val="NoSpacing"/>
        <w:rPr>
          <w:rFonts w:ascii="Arial" w:hAnsi="Arial" w:cs="Arial"/>
        </w:rPr>
      </w:pPr>
      <w:r w:rsidRPr="0053040F">
        <w:rPr>
          <w:rFonts w:ascii="Arial" w:hAnsi="Arial" w:cs="Arial"/>
        </w:rPr>
        <w:t xml:space="preserve">Investigations </w:t>
      </w:r>
    </w:p>
    <w:p w14:paraId="20F2BEEF" w14:textId="3A703CA9" w:rsidR="0053040F" w:rsidRDefault="0053040F" w:rsidP="0053040F">
      <w:pPr>
        <w:pStyle w:val="NoSpacing"/>
        <w:rPr>
          <w:rFonts w:ascii="Arial" w:hAnsi="Arial" w:cs="Arial"/>
        </w:rPr>
      </w:pPr>
      <w:r w:rsidRPr="0053040F">
        <w:rPr>
          <w:rFonts w:ascii="Arial" w:hAnsi="Arial" w:cs="Arial"/>
        </w:rPr>
        <w:t xml:space="preserve">If </w:t>
      </w:r>
      <w:r w:rsidRPr="0053040F">
        <w:rPr>
          <w:rFonts w:ascii="Arial" w:hAnsi="Arial" w:cs="Arial"/>
          <w:b/>
        </w:rPr>
        <w:t>standard strength</w:t>
      </w:r>
      <w:r w:rsidRPr="0053040F">
        <w:rPr>
          <w:rFonts w:ascii="Arial" w:hAnsi="Arial" w:cs="Arial"/>
        </w:rPr>
        <w:t xml:space="preserve"> as set out in </w:t>
      </w:r>
      <w:r w:rsidRPr="00934FB2">
        <w:rPr>
          <w:rFonts w:ascii="Arial" w:hAnsi="Arial" w:cs="Arial"/>
        </w:rPr>
        <w:t>B.</w:t>
      </w:r>
      <w:r w:rsidR="00934FB2" w:rsidRPr="00934FB2">
        <w:rPr>
          <w:rFonts w:ascii="Arial" w:hAnsi="Arial" w:cs="Arial"/>
        </w:rPr>
        <w:t>2.0</w:t>
      </w:r>
      <w:r w:rsidRPr="00934FB2">
        <w:rPr>
          <w:rFonts w:ascii="Arial" w:hAnsi="Arial" w:cs="Arial"/>
        </w:rPr>
        <w:t xml:space="preserve"> Trade Effluent charges</w:t>
      </w:r>
      <w:r w:rsidRPr="0053040F">
        <w:rPr>
          <w:rFonts w:ascii="Arial" w:hAnsi="Arial" w:cs="Arial"/>
        </w:rPr>
        <w:t xml:space="preserve"> is not an appropriate method to </w:t>
      </w:r>
      <w:proofErr w:type="gramStart"/>
      <w:r w:rsidRPr="0053040F">
        <w:rPr>
          <w:rFonts w:ascii="Arial" w:hAnsi="Arial" w:cs="Arial"/>
        </w:rPr>
        <w:t>use</w:t>
      </w:r>
      <w:proofErr w:type="gramEnd"/>
      <w:r w:rsidRPr="0053040F">
        <w:rPr>
          <w:rFonts w:ascii="Arial" w:hAnsi="Arial" w:cs="Arial"/>
        </w:rPr>
        <w:t xml:space="preserve"> we may need to carry out a sample survey. We will normally collect a minimum of 6 samples from each discharge point. However, we may decide that more samples are needed. The tariff of each sample is set out in the table above. For example, where 6 samples are </w:t>
      </w:r>
      <w:proofErr w:type="gramStart"/>
      <w:r w:rsidRPr="0053040F">
        <w:rPr>
          <w:rFonts w:ascii="Arial" w:hAnsi="Arial" w:cs="Arial"/>
        </w:rPr>
        <w:t>required</w:t>
      </w:r>
      <w:proofErr w:type="gramEnd"/>
      <w:r w:rsidRPr="0053040F">
        <w:rPr>
          <w:rFonts w:ascii="Arial" w:hAnsi="Arial" w:cs="Arial"/>
        </w:rPr>
        <w:t xml:space="preserve"> you will be charged for 6 x the tariff per sample set out in the table above. </w:t>
      </w:r>
    </w:p>
    <w:p w14:paraId="0627BDE8" w14:textId="77777777" w:rsidR="0053040F" w:rsidRDefault="0053040F" w:rsidP="0053040F">
      <w:pPr>
        <w:pStyle w:val="NoSpacing"/>
        <w:rPr>
          <w:rFonts w:ascii="Arial" w:hAnsi="Arial" w:cs="Arial"/>
        </w:rPr>
      </w:pPr>
    </w:p>
    <w:p w14:paraId="36F976B3" w14:textId="77777777" w:rsidR="0053040F" w:rsidRDefault="0053040F" w:rsidP="0053040F">
      <w:pPr>
        <w:pStyle w:val="NoSpacing"/>
        <w:rPr>
          <w:rFonts w:ascii="Arial" w:hAnsi="Arial" w:cs="Arial"/>
        </w:rPr>
      </w:pPr>
      <w:r w:rsidRPr="0053040F">
        <w:rPr>
          <w:rFonts w:ascii="Arial" w:hAnsi="Arial" w:cs="Arial"/>
        </w:rPr>
        <w:lastRenderedPageBreak/>
        <w:t xml:space="preserve">We will use the sample results to determine whether charges should be calculated using banding or sampling methods, as follows: </w:t>
      </w:r>
    </w:p>
    <w:p w14:paraId="3B0D047A" w14:textId="77777777" w:rsidR="0053040F" w:rsidRDefault="0053040F" w:rsidP="0053040F">
      <w:pPr>
        <w:pStyle w:val="NoSpacing"/>
        <w:rPr>
          <w:rFonts w:ascii="Arial" w:hAnsi="Arial" w:cs="Arial"/>
        </w:rPr>
      </w:pPr>
    </w:p>
    <w:p w14:paraId="0A18EEE1" w14:textId="76988BB6" w:rsidR="0053040F" w:rsidRDefault="0053040F" w:rsidP="0053040F">
      <w:pPr>
        <w:pStyle w:val="NoSpacing"/>
        <w:rPr>
          <w:rFonts w:ascii="Arial" w:hAnsi="Arial" w:cs="Arial"/>
        </w:rPr>
      </w:pPr>
      <w:r w:rsidRPr="0053040F">
        <w:rPr>
          <w:rFonts w:ascii="Arial" w:hAnsi="Arial" w:cs="Arial"/>
        </w:rPr>
        <w:sym w:font="Symbol" w:char="F0B7"/>
      </w:r>
      <w:r w:rsidRPr="0053040F">
        <w:rPr>
          <w:rFonts w:ascii="Arial" w:hAnsi="Arial" w:cs="Arial"/>
        </w:rPr>
        <w:t xml:space="preserve"> </w:t>
      </w:r>
      <w:r w:rsidRPr="0053040F">
        <w:rPr>
          <w:rFonts w:ascii="Arial" w:hAnsi="Arial" w:cs="Arial"/>
          <w:b/>
        </w:rPr>
        <w:t>Banded billing:</w:t>
      </w:r>
      <w:r w:rsidRPr="0053040F">
        <w:rPr>
          <w:rFonts w:ascii="Arial" w:hAnsi="Arial" w:cs="Arial"/>
        </w:rPr>
        <w:t xml:space="preserve"> we will use the averages of the results from the sample survey to identify the strength </w:t>
      </w:r>
      <w:proofErr w:type="gramStart"/>
      <w:r w:rsidRPr="0053040F">
        <w:rPr>
          <w:rFonts w:ascii="Arial" w:hAnsi="Arial" w:cs="Arial"/>
        </w:rPr>
        <w:t>and also</w:t>
      </w:r>
      <w:proofErr w:type="gramEnd"/>
      <w:r w:rsidRPr="0053040F">
        <w:rPr>
          <w:rFonts w:ascii="Arial" w:hAnsi="Arial" w:cs="Arial"/>
        </w:rPr>
        <w:t xml:space="preserve"> assess how much effluent is likely to be discharged and then allocate an appropriate tariff based on the likely value of the discharge; and, </w:t>
      </w:r>
    </w:p>
    <w:p w14:paraId="4CC598F8" w14:textId="6A91636B" w:rsidR="0053040F" w:rsidRDefault="0053040F" w:rsidP="0053040F">
      <w:pPr>
        <w:pStyle w:val="NoSpacing"/>
        <w:rPr>
          <w:rFonts w:ascii="Arial" w:hAnsi="Arial" w:cs="Arial"/>
        </w:rPr>
      </w:pPr>
      <w:r w:rsidRPr="0053040F">
        <w:rPr>
          <w:rFonts w:ascii="Arial" w:hAnsi="Arial" w:cs="Arial"/>
        </w:rPr>
        <w:sym w:font="Symbol" w:char="F0B7"/>
      </w:r>
      <w:r w:rsidRPr="0053040F">
        <w:rPr>
          <w:rFonts w:ascii="Arial" w:hAnsi="Arial" w:cs="Arial"/>
        </w:rPr>
        <w:t xml:space="preserve"> </w:t>
      </w:r>
      <w:r w:rsidRPr="0053040F">
        <w:rPr>
          <w:rFonts w:ascii="Arial" w:hAnsi="Arial" w:cs="Arial"/>
          <w:b/>
        </w:rPr>
        <w:t>Sampled billing:</w:t>
      </w:r>
      <w:r w:rsidRPr="0053040F">
        <w:rPr>
          <w:rFonts w:ascii="Arial" w:hAnsi="Arial" w:cs="Arial"/>
        </w:rPr>
        <w:t xml:space="preserve"> we will establish the number of samples which need to be taken using a statistical analysis assessment. A minimum of 24 samples </w:t>
      </w:r>
      <w:proofErr w:type="gramStart"/>
      <w:r w:rsidRPr="0053040F">
        <w:rPr>
          <w:rFonts w:ascii="Arial" w:hAnsi="Arial" w:cs="Arial"/>
        </w:rPr>
        <w:t>need</w:t>
      </w:r>
      <w:proofErr w:type="gramEnd"/>
      <w:r w:rsidRPr="0053040F">
        <w:rPr>
          <w:rFonts w:ascii="Arial" w:hAnsi="Arial" w:cs="Arial"/>
        </w:rPr>
        <w:t xml:space="preserve"> to be collected per sample point per year. For example, in the case where we need to take 24 samples a year, you will be charged 24 x the tariff per sample set out in the table above.</w:t>
      </w:r>
    </w:p>
    <w:p w14:paraId="669FE758" w14:textId="1F7B1541" w:rsidR="0053040F" w:rsidRDefault="0053040F" w:rsidP="0053040F">
      <w:pPr>
        <w:pStyle w:val="NoSpacing"/>
        <w:rPr>
          <w:rFonts w:ascii="Arial" w:hAnsi="Arial" w:cs="Arial"/>
        </w:rPr>
      </w:pPr>
    </w:p>
    <w:p w14:paraId="3EB7AB56" w14:textId="5E408750" w:rsidR="0053040F" w:rsidRPr="0053040F" w:rsidRDefault="0053040F" w:rsidP="0053040F">
      <w:pPr>
        <w:pStyle w:val="NoSpacing"/>
        <w:rPr>
          <w:rFonts w:ascii="Arial" w:hAnsi="Arial" w:cs="Arial"/>
          <w:b/>
        </w:rPr>
      </w:pPr>
      <w:r w:rsidRPr="0053040F">
        <w:rPr>
          <w:rFonts w:ascii="Arial" w:hAnsi="Arial" w:cs="Arial"/>
          <w:b/>
        </w:rPr>
        <w:t>Abortive charges</w:t>
      </w:r>
    </w:p>
    <w:p w14:paraId="4FEB22DF" w14:textId="70BD88A4" w:rsidR="0053040F" w:rsidRDefault="0053040F" w:rsidP="0053040F">
      <w:pPr>
        <w:pStyle w:val="NoSpacing"/>
        <w:rPr>
          <w:rFonts w:ascii="Arial" w:hAnsi="Arial" w:cs="Arial"/>
        </w:rPr>
      </w:pPr>
      <w:r w:rsidRPr="0053040F">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322FF809" w14:textId="7B1BDDE6" w:rsidR="0053040F" w:rsidRDefault="006A0DA5" w:rsidP="0053040F">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3472" behindDoc="0" locked="0" layoutInCell="1" allowOverlap="1" wp14:anchorId="61245A97" wp14:editId="25831F92">
                <wp:simplePos x="0" y="0"/>
                <wp:positionH relativeFrom="column">
                  <wp:posOffset>-838200</wp:posOffset>
                </wp:positionH>
                <wp:positionV relativeFrom="paragraph">
                  <wp:posOffset>245110</wp:posOffset>
                </wp:positionV>
                <wp:extent cx="7418070" cy="361315"/>
                <wp:effectExtent l="0" t="0" r="0" b="635"/>
                <wp:wrapNone/>
                <wp:docPr id="44" name="Text Box 44"/>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7D082641" w14:textId="6F746C1B"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C.1.6 Sampling &amp; analysis for trade effluent by customers</w:t>
                            </w:r>
                          </w:p>
                          <w:p w14:paraId="3CB094BC" w14:textId="77777777" w:rsidR="007A7A0C" w:rsidRPr="004616F3" w:rsidRDefault="007A7A0C" w:rsidP="0053040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5A97" id="Text Box 44" o:spid="_x0000_s1069" type="#_x0000_t202" style="position:absolute;margin-left:-66pt;margin-top:19.3pt;width:584.1pt;height:28.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" fillcolor="#069" stroked="f" strokeweight=".5pt">
                <v:textbox>
                  <w:txbxContent>
                    <w:p w14:paraId="7D082641" w14:textId="6F746C1B"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C.1.6 Sampling &amp; analysis for trade effluent by customers</w:t>
                      </w:r>
                    </w:p>
                    <w:p w14:paraId="3CB094BC" w14:textId="77777777" w:rsidR="007A7A0C" w:rsidRPr="004616F3" w:rsidRDefault="007A7A0C" w:rsidP="0053040F">
                      <w:pPr>
                        <w:pStyle w:val="NoSpacing"/>
                        <w:rPr>
                          <w:rFonts w:ascii="Arial" w:hAnsi="Arial" w:cs="Arial"/>
                          <w:color w:val="FFFFFF" w:themeColor="background1"/>
                          <w:sz w:val="32"/>
                        </w:rPr>
                      </w:pPr>
                    </w:p>
                  </w:txbxContent>
                </v:textbox>
              </v:shape>
            </w:pict>
          </mc:Fallback>
        </mc:AlternateContent>
      </w:r>
    </w:p>
    <w:p w14:paraId="62DE163E" w14:textId="11B22AAD" w:rsidR="0053040F" w:rsidRDefault="0053040F" w:rsidP="0053040F">
      <w:pPr>
        <w:pStyle w:val="NoSpacing"/>
        <w:rPr>
          <w:rFonts w:ascii="Arial" w:hAnsi="Arial" w:cs="Arial"/>
        </w:rPr>
      </w:pPr>
    </w:p>
    <w:p w14:paraId="180ADD5F" w14:textId="73DB4221" w:rsidR="0053040F" w:rsidRPr="0053040F" w:rsidRDefault="0053040F" w:rsidP="0053040F"/>
    <w:p w14:paraId="0BD88A4E" w14:textId="77777777" w:rsidR="0053040F" w:rsidRDefault="0053040F" w:rsidP="0053040F">
      <w:pPr>
        <w:pStyle w:val="NoSpacing"/>
      </w:pPr>
    </w:p>
    <w:p w14:paraId="51F2B10E" w14:textId="257ED86C" w:rsidR="0053040F" w:rsidRPr="0053040F" w:rsidRDefault="0053040F" w:rsidP="0053040F">
      <w:pPr>
        <w:pStyle w:val="NoSpacing"/>
        <w:rPr>
          <w:rFonts w:ascii="Arial" w:hAnsi="Arial" w:cs="Arial"/>
        </w:rPr>
      </w:pPr>
      <w:r w:rsidRPr="0053040F">
        <w:rPr>
          <w:rFonts w:ascii="Arial" w:hAnsi="Arial" w:cs="Arial"/>
        </w:rPr>
        <w:t>Under the terms of a trade effluent consent your non-household customer must pay for any monitoring and analysis that we carry out. If your non-household customer wants to make their own arrangements for trade effluent billing samples to be collected and analysed, they should contact you. We may need to carry out initial sampling in parallel and will charge in line with the tariff below. You will be liable for all such tariffs and charges outlined below.</w:t>
      </w:r>
    </w:p>
    <w:p w14:paraId="641A276E" w14:textId="62A7D1B5" w:rsidR="0053040F" w:rsidRDefault="0053040F" w:rsidP="0053040F">
      <w:pPr>
        <w:ind w:firstLine="720"/>
      </w:pPr>
    </w:p>
    <w:tbl>
      <w:tblPr>
        <w:tblStyle w:val="TableGrid"/>
        <w:tblW w:w="10348" w:type="dxa"/>
        <w:tblInd w:w="-572" w:type="dxa"/>
        <w:tblLook w:val="04A0" w:firstRow="1" w:lastRow="0" w:firstColumn="1" w:lastColumn="0" w:noHBand="0" w:noVBand="1"/>
      </w:tblPr>
      <w:tblGrid>
        <w:gridCol w:w="5245"/>
        <w:gridCol w:w="2268"/>
        <w:gridCol w:w="2835"/>
      </w:tblGrid>
      <w:tr w:rsidR="0053040F" w14:paraId="58F1707E" w14:textId="77777777" w:rsidTr="0053040F">
        <w:trPr>
          <w:trHeight w:val="567"/>
        </w:trPr>
        <w:tc>
          <w:tcPr>
            <w:tcW w:w="5245" w:type="dxa"/>
            <w:shd w:val="clear" w:color="auto" w:fill="006699"/>
            <w:vAlign w:val="center"/>
          </w:tcPr>
          <w:p w14:paraId="341C0AF5" w14:textId="77777777" w:rsidR="0053040F" w:rsidRPr="00BF57F7" w:rsidRDefault="0053040F" w:rsidP="0053040F">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32DD2A9A" w14:textId="77777777" w:rsidR="0053040F" w:rsidRPr="00BF57F7"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69B8285D" w14:textId="77777777" w:rsidR="0053040F"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53040F" w14:paraId="0C09B396" w14:textId="77777777" w:rsidTr="0053040F">
        <w:trPr>
          <w:trHeight w:val="567"/>
        </w:trPr>
        <w:tc>
          <w:tcPr>
            <w:tcW w:w="5245" w:type="dxa"/>
            <w:vAlign w:val="center"/>
          </w:tcPr>
          <w:p w14:paraId="41758384" w14:textId="32A7F34C" w:rsidR="0053040F" w:rsidRDefault="0053040F" w:rsidP="0053040F">
            <w:pPr>
              <w:tabs>
                <w:tab w:val="left" w:pos="939"/>
              </w:tabs>
              <w:rPr>
                <w:rFonts w:ascii="Arial" w:hAnsi="Arial" w:cs="Arial"/>
              </w:rPr>
            </w:pPr>
            <w:r>
              <w:rPr>
                <w:rFonts w:ascii="Arial" w:hAnsi="Arial" w:cs="Arial"/>
              </w:rPr>
              <w:t>Sampling &amp; analysis for trade effluent by customers</w:t>
            </w:r>
          </w:p>
        </w:tc>
        <w:tc>
          <w:tcPr>
            <w:tcW w:w="2268" w:type="dxa"/>
            <w:vAlign w:val="center"/>
          </w:tcPr>
          <w:p w14:paraId="54432E73" w14:textId="4A9B3CDA" w:rsidR="0053040F" w:rsidRDefault="0053040F" w:rsidP="0053040F">
            <w:pPr>
              <w:tabs>
                <w:tab w:val="left" w:pos="939"/>
              </w:tabs>
              <w:jc w:val="center"/>
              <w:rPr>
                <w:rFonts w:ascii="Arial" w:hAnsi="Arial" w:cs="Arial"/>
              </w:rPr>
            </w:pPr>
            <w:r>
              <w:rPr>
                <w:rFonts w:ascii="Arial" w:hAnsi="Arial" w:cs="Arial"/>
              </w:rPr>
              <w:t>£</w:t>
            </w:r>
            <w:r w:rsidR="00787200">
              <w:rPr>
                <w:rFonts w:ascii="Arial" w:hAnsi="Arial" w:cs="Arial"/>
              </w:rPr>
              <w:t>11</w:t>
            </w:r>
            <w:r w:rsidR="00FE281C">
              <w:rPr>
                <w:rFonts w:ascii="Arial" w:hAnsi="Arial" w:cs="Arial"/>
              </w:rPr>
              <w:t>2</w:t>
            </w:r>
          </w:p>
          <w:p w14:paraId="3059E744" w14:textId="77777777" w:rsidR="0053040F" w:rsidRDefault="0053040F" w:rsidP="0053040F">
            <w:pPr>
              <w:tabs>
                <w:tab w:val="left" w:pos="939"/>
              </w:tabs>
              <w:jc w:val="center"/>
              <w:rPr>
                <w:rFonts w:ascii="Arial" w:hAnsi="Arial" w:cs="Arial"/>
              </w:rPr>
            </w:pPr>
            <w:r>
              <w:rPr>
                <w:rFonts w:ascii="Arial" w:hAnsi="Arial" w:cs="Arial"/>
              </w:rPr>
              <w:t>per sample</w:t>
            </w:r>
          </w:p>
        </w:tc>
        <w:tc>
          <w:tcPr>
            <w:tcW w:w="2835" w:type="dxa"/>
            <w:vAlign w:val="center"/>
          </w:tcPr>
          <w:p w14:paraId="0409EE5A" w14:textId="16FC6422" w:rsidR="0053040F" w:rsidRDefault="0053040F" w:rsidP="00787200">
            <w:pPr>
              <w:tabs>
                <w:tab w:val="left" w:pos="939"/>
              </w:tabs>
              <w:jc w:val="center"/>
              <w:rPr>
                <w:rFonts w:ascii="Arial" w:hAnsi="Arial" w:cs="Arial"/>
              </w:rPr>
            </w:pPr>
            <w:r>
              <w:rPr>
                <w:rFonts w:ascii="Arial" w:hAnsi="Arial" w:cs="Arial"/>
              </w:rPr>
              <w:t>£</w:t>
            </w:r>
            <w:r w:rsidR="00FE281C">
              <w:rPr>
                <w:rFonts w:ascii="Arial" w:hAnsi="Arial" w:cs="Arial"/>
              </w:rPr>
              <w:t>79</w:t>
            </w:r>
          </w:p>
        </w:tc>
      </w:tr>
    </w:tbl>
    <w:p w14:paraId="5B24F6C7" w14:textId="702D7F80" w:rsidR="0053040F" w:rsidRDefault="0053040F" w:rsidP="0053040F">
      <w:pPr>
        <w:pStyle w:val="NoSpacing"/>
      </w:pPr>
    </w:p>
    <w:p w14:paraId="1C8149FD" w14:textId="325EE334" w:rsidR="0053040F" w:rsidRDefault="0053040F" w:rsidP="0053040F">
      <w:pPr>
        <w:pStyle w:val="NoSpacing"/>
        <w:rPr>
          <w:rFonts w:ascii="Arial" w:hAnsi="Arial" w:cs="Arial"/>
        </w:rPr>
      </w:pPr>
      <w:r w:rsidRPr="0053040F">
        <w:rPr>
          <w:rFonts w:ascii="Arial" w:hAnsi="Arial" w:cs="Arial"/>
        </w:rPr>
        <w:t>Note: a request beyond the standard service may require a price on application</w:t>
      </w:r>
      <w:r>
        <w:rPr>
          <w:rFonts w:ascii="Arial" w:hAnsi="Arial" w:cs="Arial"/>
        </w:rPr>
        <w:t>.</w:t>
      </w:r>
    </w:p>
    <w:p w14:paraId="7D3F2072" w14:textId="79CCBE74" w:rsidR="006A0DA5" w:rsidRDefault="006A0DA5" w:rsidP="0053040F">
      <w:pPr>
        <w:pStyle w:val="NoSpacing"/>
        <w:rPr>
          <w:rFonts w:ascii="Arial" w:hAnsi="Arial" w:cs="Arial"/>
        </w:rPr>
      </w:pPr>
    </w:p>
    <w:p w14:paraId="3B085F16" w14:textId="77777777" w:rsidR="006A0DA5" w:rsidRPr="00FC442E" w:rsidRDefault="006A0DA5" w:rsidP="0053040F">
      <w:pPr>
        <w:pStyle w:val="NoSpacing"/>
        <w:rPr>
          <w:rFonts w:ascii="Arial" w:hAnsi="Arial" w:cs="Arial"/>
          <w:b/>
        </w:rPr>
      </w:pPr>
      <w:r w:rsidRPr="00FC442E">
        <w:rPr>
          <w:rFonts w:ascii="Arial" w:hAnsi="Arial" w:cs="Arial"/>
          <w:b/>
        </w:rPr>
        <w:t xml:space="preserve">Standard service </w:t>
      </w:r>
    </w:p>
    <w:p w14:paraId="3EE47D8D" w14:textId="77777777" w:rsidR="006A0DA5" w:rsidRDefault="006A0DA5" w:rsidP="0053040F">
      <w:pPr>
        <w:pStyle w:val="NoSpacing"/>
        <w:rPr>
          <w:rFonts w:ascii="Arial" w:hAnsi="Arial" w:cs="Arial"/>
        </w:rPr>
      </w:pPr>
      <w:r w:rsidRPr="006A0DA5">
        <w:rPr>
          <w:rFonts w:ascii="Arial" w:hAnsi="Arial" w:cs="Arial"/>
        </w:rPr>
        <w:t xml:space="preserve">To collect and analyse trade effluent samples your non-household customer must: </w:t>
      </w:r>
    </w:p>
    <w:p w14:paraId="54F41B85" w14:textId="77777777" w:rsidR="006A0DA5" w:rsidRDefault="006A0DA5" w:rsidP="0053040F">
      <w:pPr>
        <w:pStyle w:val="NoSpacing"/>
        <w:rPr>
          <w:rFonts w:ascii="Arial" w:hAnsi="Arial" w:cs="Arial"/>
        </w:rPr>
      </w:pPr>
    </w:p>
    <w:p w14:paraId="6609D6C5" w14:textId="200A8ECD" w:rsidR="006A0DA5" w:rsidRDefault="006A0DA5" w:rsidP="00FC442E">
      <w:pPr>
        <w:pStyle w:val="NoSpacing"/>
        <w:numPr>
          <w:ilvl w:val="0"/>
          <w:numId w:val="12"/>
        </w:numPr>
        <w:rPr>
          <w:rFonts w:ascii="Arial" w:hAnsi="Arial" w:cs="Arial"/>
        </w:rPr>
      </w:pPr>
      <w:r w:rsidRPr="006A0DA5">
        <w:rPr>
          <w:rFonts w:ascii="Arial" w:hAnsi="Arial" w:cs="Arial"/>
        </w:rPr>
        <w:t xml:space="preserve">demonstrate the ability to collect and analyse samples to our satisfaction including flow proportional, refrigeration, storage of samples, bottles used, equipment etc. This may involve us carrying out a site </w:t>
      </w:r>
      <w:proofErr w:type="gramStart"/>
      <w:r w:rsidRPr="006A0DA5">
        <w:rPr>
          <w:rFonts w:ascii="Arial" w:hAnsi="Arial" w:cs="Arial"/>
        </w:rPr>
        <w:t>visit;</w:t>
      </w:r>
      <w:proofErr w:type="gramEnd"/>
      <w:r w:rsidRPr="006A0DA5">
        <w:rPr>
          <w:rFonts w:ascii="Arial" w:hAnsi="Arial" w:cs="Arial"/>
        </w:rPr>
        <w:t xml:space="preserve"> </w:t>
      </w:r>
    </w:p>
    <w:p w14:paraId="50151E92" w14:textId="1375FA96" w:rsidR="00FC442E" w:rsidRDefault="00FC442E" w:rsidP="00FC442E">
      <w:pPr>
        <w:pStyle w:val="NoSpacing"/>
        <w:numPr>
          <w:ilvl w:val="0"/>
          <w:numId w:val="12"/>
        </w:numPr>
        <w:rPr>
          <w:rFonts w:ascii="Arial" w:hAnsi="Arial" w:cs="Arial"/>
        </w:rPr>
      </w:pPr>
      <w:r w:rsidRPr="006A0DA5">
        <w:rPr>
          <w:rFonts w:ascii="Arial" w:hAnsi="Arial" w:cs="Arial"/>
        </w:rPr>
        <w:t xml:space="preserve">ensure sampling procedures are to Environment Agency of England &amp; Wales Monitoring Certification Scheme or equivalent </w:t>
      </w:r>
      <w:proofErr w:type="gramStart"/>
      <w:r w:rsidRPr="006A0DA5">
        <w:rPr>
          <w:rFonts w:ascii="Arial" w:hAnsi="Arial" w:cs="Arial"/>
        </w:rPr>
        <w:t>standards;</w:t>
      </w:r>
      <w:proofErr w:type="gramEnd"/>
    </w:p>
    <w:p w14:paraId="301B0C42" w14:textId="628095C2" w:rsidR="00FC442E" w:rsidRDefault="00FC442E" w:rsidP="00FC442E">
      <w:pPr>
        <w:pStyle w:val="NoSpacing"/>
        <w:numPr>
          <w:ilvl w:val="0"/>
          <w:numId w:val="12"/>
        </w:numPr>
        <w:rPr>
          <w:rFonts w:ascii="Arial" w:hAnsi="Arial" w:cs="Arial"/>
        </w:rPr>
      </w:pPr>
      <w:r w:rsidRPr="006A0DA5">
        <w:rPr>
          <w:rFonts w:ascii="Arial" w:hAnsi="Arial" w:cs="Arial"/>
        </w:rPr>
        <w:t xml:space="preserve">have the samples analysed to United Kingdom Accreditation Service accredited laboratory standards for the required operational </w:t>
      </w:r>
      <w:proofErr w:type="gramStart"/>
      <w:r w:rsidRPr="006A0DA5">
        <w:rPr>
          <w:rFonts w:ascii="Arial" w:hAnsi="Arial" w:cs="Arial"/>
        </w:rPr>
        <w:t>parameters;</w:t>
      </w:r>
      <w:proofErr w:type="gramEnd"/>
    </w:p>
    <w:p w14:paraId="79FE3087" w14:textId="35FA8FC6" w:rsidR="00FC442E" w:rsidRDefault="00FC442E" w:rsidP="00FC442E">
      <w:pPr>
        <w:pStyle w:val="NoSpacing"/>
        <w:numPr>
          <w:ilvl w:val="0"/>
          <w:numId w:val="12"/>
        </w:numPr>
        <w:rPr>
          <w:rFonts w:ascii="Arial" w:hAnsi="Arial" w:cs="Arial"/>
        </w:rPr>
      </w:pPr>
      <w:r w:rsidRPr="006A0DA5">
        <w:rPr>
          <w:rFonts w:ascii="Arial" w:hAnsi="Arial" w:cs="Arial"/>
        </w:rPr>
        <w:t xml:space="preserve">initially be sampled by us until bipartite samples show the results are comparable to ours over a period of three to six </w:t>
      </w:r>
      <w:proofErr w:type="gramStart"/>
      <w:r w:rsidRPr="006A0DA5">
        <w:rPr>
          <w:rFonts w:ascii="Arial" w:hAnsi="Arial" w:cs="Arial"/>
        </w:rPr>
        <w:t>months;</w:t>
      </w:r>
      <w:proofErr w:type="gramEnd"/>
    </w:p>
    <w:p w14:paraId="686A60A4" w14:textId="5E493778" w:rsidR="00FC442E" w:rsidRDefault="00FC442E" w:rsidP="00FC442E">
      <w:pPr>
        <w:pStyle w:val="NoSpacing"/>
        <w:numPr>
          <w:ilvl w:val="0"/>
          <w:numId w:val="12"/>
        </w:numPr>
        <w:rPr>
          <w:rFonts w:ascii="Arial" w:hAnsi="Arial" w:cs="Arial"/>
        </w:rPr>
      </w:pPr>
      <w:r w:rsidRPr="006A0DA5">
        <w:rPr>
          <w:rFonts w:ascii="Arial" w:hAnsi="Arial" w:cs="Arial"/>
        </w:rPr>
        <w:t xml:space="preserve">allow us to undertake an audit upon </w:t>
      </w:r>
      <w:proofErr w:type="gramStart"/>
      <w:r w:rsidRPr="006A0DA5">
        <w:rPr>
          <w:rFonts w:ascii="Arial" w:hAnsi="Arial" w:cs="Arial"/>
        </w:rPr>
        <w:t>request;</w:t>
      </w:r>
      <w:proofErr w:type="gramEnd"/>
    </w:p>
    <w:p w14:paraId="39E1D30E" w14:textId="568F9283" w:rsidR="00FC442E" w:rsidRDefault="00FC442E" w:rsidP="00FC442E">
      <w:pPr>
        <w:pStyle w:val="NoSpacing"/>
        <w:numPr>
          <w:ilvl w:val="0"/>
          <w:numId w:val="12"/>
        </w:numPr>
        <w:rPr>
          <w:rFonts w:ascii="Arial" w:hAnsi="Arial" w:cs="Arial"/>
        </w:rPr>
      </w:pPr>
      <w:r w:rsidRPr="006A0DA5">
        <w:rPr>
          <w:rFonts w:ascii="Arial" w:hAnsi="Arial" w:cs="Arial"/>
        </w:rPr>
        <w:t>provide sample analysis results on demand in the manner specified, within the specified timeframe and frequency; and,</w:t>
      </w:r>
    </w:p>
    <w:p w14:paraId="5CF49C48" w14:textId="22BD4972" w:rsidR="00FC442E" w:rsidRDefault="00FC442E" w:rsidP="00FC442E">
      <w:pPr>
        <w:pStyle w:val="NoSpacing"/>
        <w:numPr>
          <w:ilvl w:val="0"/>
          <w:numId w:val="12"/>
        </w:numPr>
        <w:rPr>
          <w:rFonts w:ascii="Arial" w:hAnsi="Arial" w:cs="Arial"/>
        </w:rPr>
      </w:pPr>
      <w:r w:rsidRPr="006A0DA5">
        <w:rPr>
          <w:rFonts w:ascii="Arial" w:hAnsi="Arial" w:cs="Arial"/>
        </w:rPr>
        <w:t>analyse the samples for settled chemical oxygen demand (Ot), settleable solids (St) and if appropriate, ammoniacal nitrogen (At) and other determinan</w:t>
      </w:r>
      <w:r>
        <w:rPr>
          <w:rFonts w:ascii="Arial" w:hAnsi="Arial" w:cs="Arial"/>
        </w:rPr>
        <w:t>t</w:t>
      </w:r>
      <w:r w:rsidRPr="006A0DA5">
        <w:rPr>
          <w:rFonts w:ascii="Arial" w:hAnsi="Arial" w:cs="Arial"/>
        </w:rPr>
        <w:t>s required.</w:t>
      </w:r>
    </w:p>
    <w:p w14:paraId="255FC565" w14:textId="77777777" w:rsidR="002C04C3" w:rsidRDefault="002C04C3" w:rsidP="0053040F">
      <w:pPr>
        <w:pStyle w:val="NoSpacing"/>
        <w:rPr>
          <w:rFonts w:ascii="Arial" w:hAnsi="Arial" w:cs="Arial"/>
          <w:b/>
        </w:rPr>
      </w:pPr>
    </w:p>
    <w:p w14:paraId="1E010983" w14:textId="77777777" w:rsidR="002C04C3" w:rsidRDefault="002C04C3" w:rsidP="0053040F">
      <w:pPr>
        <w:pStyle w:val="NoSpacing"/>
        <w:rPr>
          <w:rFonts w:ascii="Arial" w:hAnsi="Arial" w:cs="Arial"/>
          <w:b/>
        </w:rPr>
      </w:pPr>
    </w:p>
    <w:p w14:paraId="4BF56EF1" w14:textId="77777777" w:rsidR="002C04C3" w:rsidRDefault="002C04C3" w:rsidP="0053040F">
      <w:pPr>
        <w:pStyle w:val="NoSpacing"/>
        <w:rPr>
          <w:rFonts w:ascii="Arial" w:hAnsi="Arial" w:cs="Arial"/>
          <w:b/>
        </w:rPr>
      </w:pPr>
    </w:p>
    <w:p w14:paraId="29D4B75A" w14:textId="77777777" w:rsidR="002C04C3" w:rsidRDefault="002C04C3" w:rsidP="0053040F">
      <w:pPr>
        <w:pStyle w:val="NoSpacing"/>
        <w:rPr>
          <w:rFonts w:ascii="Arial" w:hAnsi="Arial" w:cs="Arial"/>
          <w:b/>
        </w:rPr>
      </w:pPr>
    </w:p>
    <w:p w14:paraId="27B6F61B" w14:textId="21ADF675" w:rsidR="006A0DA5" w:rsidRPr="006A0DA5" w:rsidRDefault="006A0DA5" w:rsidP="0053040F">
      <w:pPr>
        <w:pStyle w:val="NoSpacing"/>
        <w:rPr>
          <w:rFonts w:ascii="Arial" w:hAnsi="Arial" w:cs="Arial"/>
          <w:b/>
        </w:rPr>
      </w:pPr>
      <w:r w:rsidRPr="006A0DA5">
        <w:rPr>
          <w:rFonts w:ascii="Arial" w:hAnsi="Arial" w:cs="Arial"/>
          <w:b/>
        </w:rPr>
        <w:t xml:space="preserve">Exclusions </w:t>
      </w:r>
    </w:p>
    <w:p w14:paraId="3A253BAC" w14:textId="52B769FD" w:rsidR="006A0DA5" w:rsidRDefault="006A0DA5" w:rsidP="0053040F">
      <w:pPr>
        <w:pStyle w:val="NoSpacing"/>
        <w:rPr>
          <w:rFonts w:ascii="Arial" w:hAnsi="Arial" w:cs="Arial"/>
        </w:rPr>
      </w:pPr>
      <w:r w:rsidRPr="006A0DA5">
        <w:rPr>
          <w:rFonts w:ascii="Arial" w:hAnsi="Arial" w:cs="Arial"/>
        </w:rPr>
        <w:t>We may decide to remove permission for your non-household customer to collect samples if we are not confident or satisfied with the sampling method, analysis and storage carried out. We may also decide to remove permission for your non-household customer to collect samples if the result is not provided to us within the specified time.</w:t>
      </w:r>
    </w:p>
    <w:p w14:paraId="6169E500" w14:textId="77777777" w:rsidR="00FC442E" w:rsidRDefault="00FC442E" w:rsidP="0053040F">
      <w:pPr>
        <w:pStyle w:val="NoSpacing"/>
        <w:rPr>
          <w:rFonts w:ascii="Arial" w:hAnsi="Arial" w:cs="Arial"/>
        </w:rPr>
      </w:pPr>
    </w:p>
    <w:p w14:paraId="4C058A93" w14:textId="77777777" w:rsidR="006A0DA5" w:rsidRPr="006A0DA5" w:rsidRDefault="006A0DA5" w:rsidP="0053040F">
      <w:pPr>
        <w:pStyle w:val="NoSpacing"/>
        <w:rPr>
          <w:rFonts w:ascii="Arial" w:hAnsi="Arial" w:cs="Arial"/>
          <w:b/>
        </w:rPr>
      </w:pPr>
      <w:r w:rsidRPr="006A0DA5">
        <w:rPr>
          <w:rFonts w:ascii="Arial" w:hAnsi="Arial" w:cs="Arial"/>
          <w:b/>
        </w:rPr>
        <w:t xml:space="preserve">Abortive charges </w:t>
      </w:r>
    </w:p>
    <w:p w14:paraId="3EB370E3" w14:textId="6BA4D993" w:rsidR="006A0DA5" w:rsidRDefault="006A0DA5" w:rsidP="0053040F">
      <w:pPr>
        <w:pStyle w:val="NoSpacing"/>
        <w:rPr>
          <w:rFonts w:ascii="Arial" w:hAnsi="Arial" w:cs="Arial"/>
        </w:rPr>
      </w:pPr>
      <w:r w:rsidRPr="006A0DA5">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34E73524" w14:textId="49C0E60F" w:rsidR="006A0DA5" w:rsidRDefault="006A0DA5" w:rsidP="0053040F">
      <w:pPr>
        <w:pStyle w:val="NoSpacing"/>
        <w:rPr>
          <w:rFonts w:ascii="Arial" w:hAnsi="Arial" w:cs="Arial"/>
        </w:rPr>
      </w:pPr>
    </w:p>
    <w:p w14:paraId="2C6D1D37" w14:textId="0846AEDC" w:rsidR="00FC442E" w:rsidRDefault="00FC442E" w:rsidP="0053040F">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5520" behindDoc="0" locked="0" layoutInCell="1" allowOverlap="1" wp14:anchorId="3AA39B99" wp14:editId="5FFFDE57">
                <wp:simplePos x="0" y="0"/>
                <wp:positionH relativeFrom="column">
                  <wp:posOffset>-847725</wp:posOffset>
                </wp:positionH>
                <wp:positionV relativeFrom="paragraph">
                  <wp:posOffset>-90805</wp:posOffset>
                </wp:positionV>
                <wp:extent cx="7418070" cy="361315"/>
                <wp:effectExtent l="0" t="0" r="0" b="635"/>
                <wp:wrapNone/>
                <wp:docPr id="45" name="Text Box 45"/>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24EE7461" w14:textId="54050BFC"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C.1.7 Monitoring trade effluent discharges</w:t>
                            </w:r>
                          </w:p>
                          <w:p w14:paraId="6AF37FF5" w14:textId="77777777" w:rsidR="007A7A0C" w:rsidRPr="004616F3" w:rsidRDefault="007A7A0C" w:rsidP="006A0DA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9B99" id="Text Box 45" o:spid="_x0000_s1070" type="#_x0000_t202" style="position:absolute;margin-left:-66.75pt;margin-top:-7.15pt;width:584.1pt;height:2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" fillcolor="#069" stroked="f" strokeweight=".5pt">
                <v:textbox>
                  <w:txbxContent>
                    <w:p w14:paraId="24EE7461" w14:textId="54050BFC"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C.1.7 Monitoring trade effluent discharges</w:t>
                      </w:r>
                    </w:p>
                    <w:p w14:paraId="6AF37FF5" w14:textId="77777777" w:rsidR="007A7A0C" w:rsidRPr="004616F3" w:rsidRDefault="007A7A0C" w:rsidP="006A0DA5">
                      <w:pPr>
                        <w:pStyle w:val="NoSpacing"/>
                        <w:rPr>
                          <w:rFonts w:ascii="Arial" w:hAnsi="Arial" w:cs="Arial"/>
                          <w:color w:val="FFFFFF" w:themeColor="background1"/>
                          <w:sz w:val="32"/>
                        </w:rPr>
                      </w:pPr>
                    </w:p>
                  </w:txbxContent>
                </v:textbox>
              </v:shape>
            </w:pict>
          </mc:Fallback>
        </mc:AlternateContent>
      </w:r>
    </w:p>
    <w:p w14:paraId="7FF04EE5" w14:textId="410F9EED" w:rsidR="006A0DA5" w:rsidRDefault="006A0DA5" w:rsidP="006A0DA5">
      <w:pPr>
        <w:pStyle w:val="NoSpacing"/>
      </w:pPr>
    </w:p>
    <w:p w14:paraId="42CD4EEF" w14:textId="77777777" w:rsidR="00FC442E" w:rsidRDefault="00FC442E" w:rsidP="006A0DA5">
      <w:pPr>
        <w:pStyle w:val="NoSpacing"/>
        <w:rPr>
          <w:rFonts w:ascii="Arial" w:hAnsi="Arial" w:cs="Arial"/>
        </w:rPr>
      </w:pPr>
    </w:p>
    <w:p w14:paraId="0F50CE21" w14:textId="1AAEE67F" w:rsidR="006A0DA5" w:rsidRDefault="006A0DA5" w:rsidP="006A0DA5">
      <w:pPr>
        <w:pStyle w:val="NoSpacing"/>
        <w:rPr>
          <w:rFonts w:ascii="Arial" w:hAnsi="Arial" w:cs="Arial"/>
        </w:rPr>
      </w:pPr>
      <w:r w:rsidRPr="006A0DA5">
        <w:rPr>
          <w:rFonts w:ascii="Arial" w:hAnsi="Arial" w:cs="Arial"/>
        </w:rPr>
        <w:t xml:space="preserve">Under the terms of a trade effluent consent your non-household customer must pay for any monitoring and analysis that we carry out. We carry out visits to undertake routine and non-routine monitoring of trade effluent. Where samples taken establish that your customer is in breach of the conditions of their consent we will charge for the sampling and analysis. Tariffs will apply, which you shall be liable for, each sample that it is necessary </w:t>
      </w:r>
      <w:proofErr w:type="gramStart"/>
      <w:r w:rsidRPr="006A0DA5">
        <w:rPr>
          <w:rFonts w:ascii="Arial" w:hAnsi="Arial" w:cs="Arial"/>
        </w:rPr>
        <w:t>in order to</w:t>
      </w:r>
      <w:proofErr w:type="gramEnd"/>
      <w:r w:rsidRPr="006A0DA5">
        <w:rPr>
          <w:rFonts w:ascii="Arial" w:hAnsi="Arial" w:cs="Arial"/>
        </w:rPr>
        <w:t xml:space="preserve"> establish the breach.</w:t>
      </w:r>
    </w:p>
    <w:p w14:paraId="0015D7CE" w14:textId="61049E53" w:rsidR="006A0DA5" w:rsidRDefault="006A0DA5" w:rsidP="006A0DA5">
      <w:pPr>
        <w:pStyle w:val="NoSpacing"/>
        <w:rPr>
          <w:rFonts w:ascii="Arial" w:hAnsi="Arial" w:cs="Arial"/>
        </w:rPr>
      </w:pPr>
    </w:p>
    <w:tbl>
      <w:tblPr>
        <w:tblStyle w:val="TableGrid"/>
        <w:tblW w:w="10348" w:type="dxa"/>
        <w:tblInd w:w="-572" w:type="dxa"/>
        <w:tblLook w:val="04A0" w:firstRow="1" w:lastRow="0" w:firstColumn="1" w:lastColumn="0" w:noHBand="0" w:noVBand="1"/>
      </w:tblPr>
      <w:tblGrid>
        <w:gridCol w:w="5245"/>
        <w:gridCol w:w="2268"/>
        <w:gridCol w:w="2835"/>
      </w:tblGrid>
      <w:tr w:rsidR="006A0DA5" w14:paraId="02B3E7B0" w14:textId="77777777" w:rsidTr="006A0DA5">
        <w:trPr>
          <w:trHeight w:val="567"/>
        </w:trPr>
        <w:tc>
          <w:tcPr>
            <w:tcW w:w="5245" w:type="dxa"/>
            <w:shd w:val="clear" w:color="auto" w:fill="006699"/>
            <w:vAlign w:val="center"/>
          </w:tcPr>
          <w:p w14:paraId="2E220431" w14:textId="77777777" w:rsidR="006A0DA5" w:rsidRPr="00BF57F7" w:rsidRDefault="006A0DA5" w:rsidP="006A0DA5">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6A079E12" w14:textId="77777777" w:rsidR="006A0DA5" w:rsidRPr="00BF57F7" w:rsidRDefault="006A0DA5" w:rsidP="006A0DA5">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41480350" w14:textId="77777777" w:rsidR="006A0DA5" w:rsidRDefault="006A0DA5" w:rsidP="006A0DA5">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6A0DA5" w14:paraId="1FF02310" w14:textId="77777777" w:rsidTr="006A0DA5">
        <w:trPr>
          <w:trHeight w:val="567"/>
        </w:trPr>
        <w:tc>
          <w:tcPr>
            <w:tcW w:w="5245" w:type="dxa"/>
            <w:vAlign w:val="center"/>
          </w:tcPr>
          <w:p w14:paraId="4ACBF353" w14:textId="2C2AA68A" w:rsidR="006A0DA5" w:rsidRDefault="006A0DA5" w:rsidP="006A0DA5">
            <w:pPr>
              <w:tabs>
                <w:tab w:val="left" w:pos="939"/>
              </w:tabs>
              <w:rPr>
                <w:rFonts w:ascii="Arial" w:hAnsi="Arial" w:cs="Arial"/>
              </w:rPr>
            </w:pPr>
            <w:r>
              <w:rPr>
                <w:rFonts w:ascii="Arial" w:hAnsi="Arial" w:cs="Arial"/>
              </w:rPr>
              <w:t>Monitoring trade effluent discharges</w:t>
            </w:r>
          </w:p>
        </w:tc>
        <w:tc>
          <w:tcPr>
            <w:tcW w:w="2268" w:type="dxa"/>
            <w:vAlign w:val="center"/>
          </w:tcPr>
          <w:p w14:paraId="0D428D53" w14:textId="1598391A" w:rsidR="006A0DA5" w:rsidRDefault="006A0DA5" w:rsidP="006A0DA5">
            <w:pPr>
              <w:tabs>
                <w:tab w:val="left" w:pos="939"/>
              </w:tabs>
              <w:jc w:val="center"/>
              <w:rPr>
                <w:rFonts w:ascii="Arial" w:hAnsi="Arial" w:cs="Arial"/>
              </w:rPr>
            </w:pPr>
            <w:r>
              <w:rPr>
                <w:rFonts w:ascii="Arial" w:hAnsi="Arial" w:cs="Arial"/>
              </w:rPr>
              <w:t>£</w:t>
            </w:r>
            <w:r w:rsidR="002C4E6E">
              <w:rPr>
                <w:rFonts w:ascii="Arial" w:hAnsi="Arial" w:cs="Arial"/>
              </w:rPr>
              <w:t>1</w:t>
            </w:r>
            <w:r w:rsidR="00787200">
              <w:rPr>
                <w:rFonts w:ascii="Arial" w:hAnsi="Arial" w:cs="Arial"/>
              </w:rPr>
              <w:t>1</w:t>
            </w:r>
            <w:r w:rsidR="00FE281C">
              <w:rPr>
                <w:rFonts w:ascii="Arial" w:hAnsi="Arial" w:cs="Arial"/>
              </w:rPr>
              <w:t>2</w:t>
            </w:r>
          </w:p>
          <w:p w14:paraId="4D346F49" w14:textId="77777777" w:rsidR="006A0DA5" w:rsidRDefault="006A0DA5" w:rsidP="006A0DA5">
            <w:pPr>
              <w:tabs>
                <w:tab w:val="left" w:pos="939"/>
              </w:tabs>
              <w:jc w:val="center"/>
              <w:rPr>
                <w:rFonts w:ascii="Arial" w:hAnsi="Arial" w:cs="Arial"/>
              </w:rPr>
            </w:pPr>
            <w:r>
              <w:rPr>
                <w:rFonts w:ascii="Arial" w:hAnsi="Arial" w:cs="Arial"/>
              </w:rPr>
              <w:t>per sample</w:t>
            </w:r>
          </w:p>
        </w:tc>
        <w:tc>
          <w:tcPr>
            <w:tcW w:w="2835" w:type="dxa"/>
            <w:vAlign w:val="center"/>
          </w:tcPr>
          <w:p w14:paraId="6F9E1DF5" w14:textId="6BC59919" w:rsidR="006A0DA5" w:rsidRDefault="006A0DA5" w:rsidP="00787200">
            <w:pPr>
              <w:tabs>
                <w:tab w:val="left" w:pos="939"/>
              </w:tabs>
              <w:jc w:val="center"/>
              <w:rPr>
                <w:rFonts w:ascii="Arial" w:hAnsi="Arial" w:cs="Arial"/>
              </w:rPr>
            </w:pPr>
            <w:r>
              <w:rPr>
                <w:rFonts w:ascii="Arial" w:hAnsi="Arial" w:cs="Arial"/>
              </w:rPr>
              <w:t>£</w:t>
            </w:r>
            <w:r w:rsidR="00FE281C">
              <w:rPr>
                <w:rFonts w:ascii="Arial" w:hAnsi="Arial" w:cs="Arial"/>
              </w:rPr>
              <w:t>79</w:t>
            </w:r>
          </w:p>
        </w:tc>
      </w:tr>
    </w:tbl>
    <w:p w14:paraId="093AC19B" w14:textId="7B43BC6B" w:rsidR="006A0DA5" w:rsidRDefault="006A0DA5" w:rsidP="006A0DA5">
      <w:pPr>
        <w:pStyle w:val="NoSpacing"/>
        <w:rPr>
          <w:rFonts w:ascii="Arial" w:hAnsi="Arial" w:cs="Arial"/>
        </w:rPr>
      </w:pPr>
    </w:p>
    <w:p w14:paraId="70A04F3A" w14:textId="494D3CB7" w:rsidR="006A0DA5" w:rsidRDefault="006A0DA5" w:rsidP="006A0DA5">
      <w:pPr>
        <w:pStyle w:val="NoSpacing"/>
        <w:rPr>
          <w:rFonts w:ascii="Arial" w:hAnsi="Arial" w:cs="Arial"/>
        </w:rPr>
      </w:pPr>
      <w:r w:rsidRPr="006A0DA5">
        <w:rPr>
          <w:rFonts w:ascii="Arial" w:hAnsi="Arial" w:cs="Arial"/>
        </w:rPr>
        <w:t>Note: a request beyond the standard service may require a price on application</w:t>
      </w:r>
      <w:r>
        <w:rPr>
          <w:rFonts w:ascii="Arial" w:hAnsi="Arial" w:cs="Arial"/>
        </w:rPr>
        <w:t>.</w:t>
      </w:r>
    </w:p>
    <w:p w14:paraId="331F17DE" w14:textId="4AE372E5" w:rsidR="006A0DA5" w:rsidRDefault="006A0DA5" w:rsidP="006A0DA5">
      <w:pPr>
        <w:pStyle w:val="NoSpacing"/>
        <w:rPr>
          <w:rFonts w:ascii="Arial" w:hAnsi="Arial" w:cs="Arial"/>
        </w:rPr>
      </w:pPr>
    </w:p>
    <w:p w14:paraId="5FC35187" w14:textId="77777777" w:rsidR="006A0DA5" w:rsidRPr="006A0DA5" w:rsidRDefault="006A0DA5" w:rsidP="006A0DA5">
      <w:pPr>
        <w:pStyle w:val="NoSpacing"/>
        <w:rPr>
          <w:rFonts w:ascii="Arial" w:hAnsi="Arial" w:cs="Arial"/>
          <w:b/>
        </w:rPr>
      </w:pPr>
      <w:r w:rsidRPr="006A0DA5">
        <w:rPr>
          <w:rFonts w:ascii="Arial" w:hAnsi="Arial" w:cs="Arial"/>
          <w:b/>
        </w:rPr>
        <w:t xml:space="preserve">Service requests and ordering </w:t>
      </w:r>
    </w:p>
    <w:p w14:paraId="318EEA0F" w14:textId="77777777" w:rsidR="006A0DA5" w:rsidRDefault="006A0DA5" w:rsidP="006A0DA5">
      <w:pPr>
        <w:pStyle w:val="NoSpacing"/>
        <w:rPr>
          <w:rFonts w:ascii="Arial" w:hAnsi="Arial" w:cs="Arial"/>
        </w:rPr>
      </w:pPr>
      <w:r w:rsidRPr="006A0DA5">
        <w:rPr>
          <w:rFonts w:ascii="Arial" w:hAnsi="Arial" w:cs="Arial"/>
        </w:rPr>
        <w:t xml:space="preserve">We have the right of entry at all reasonable times (under section 171 of the Water Industry Act 1991) allowing access to inspect such things as the sampling point and the inspection chamber where the trade effluent is discharged. </w:t>
      </w:r>
    </w:p>
    <w:p w14:paraId="2DB7E946" w14:textId="77777777" w:rsidR="006A0DA5" w:rsidRDefault="006A0DA5" w:rsidP="006A0DA5">
      <w:pPr>
        <w:pStyle w:val="NoSpacing"/>
        <w:rPr>
          <w:rFonts w:ascii="Arial" w:hAnsi="Arial" w:cs="Arial"/>
        </w:rPr>
      </w:pPr>
    </w:p>
    <w:p w14:paraId="6B34A844" w14:textId="77777777" w:rsidR="006A0DA5" w:rsidRDefault="006A0DA5" w:rsidP="006A0DA5">
      <w:pPr>
        <w:pStyle w:val="NoSpacing"/>
        <w:rPr>
          <w:rFonts w:ascii="Arial" w:hAnsi="Arial" w:cs="Arial"/>
        </w:rPr>
      </w:pPr>
      <w:r w:rsidRPr="006A0DA5">
        <w:rPr>
          <w:rFonts w:ascii="Arial" w:hAnsi="Arial" w:cs="Arial"/>
        </w:rPr>
        <w:t xml:space="preserve">We may carry out monitoring visits at any time, without warning for example to investigate illegal discharges. Where we carry out sampling and analysis, this will be charged in line with the table above. </w:t>
      </w:r>
    </w:p>
    <w:p w14:paraId="438FC27B" w14:textId="77777777" w:rsidR="006A0DA5" w:rsidRDefault="006A0DA5" w:rsidP="006A0DA5">
      <w:pPr>
        <w:pStyle w:val="NoSpacing"/>
        <w:rPr>
          <w:rFonts w:ascii="Arial" w:hAnsi="Arial" w:cs="Arial"/>
        </w:rPr>
      </w:pPr>
    </w:p>
    <w:p w14:paraId="057589CC" w14:textId="77777777" w:rsidR="006A0DA5" w:rsidRPr="006A0DA5" w:rsidRDefault="006A0DA5" w:rsidP="006A0DA5">
      <w:pPr>
        <w:pStyle w:val="NoSpacing"/>
        <w:rPr>
          <w:rFonts w:ascii="Arial" w:hAnsi="Arial" w:cs="Arial"/>
          <w:b/>
        </w:rPr>
      </w:pPr>
      <w:r w:rsidRPr="006A0DA5">
        <w:rPr>
          <w:rFonts w:ascii="Arial" w:hAnsi="Arial" w:cs="Arial"/>
          <w:b/>
        </w:rPr>
        <w:t xml:space="preserve">Abortive charges </w:t>
      </w:r>
    </w:p>
    <w:p w14:paraId="12BB8D77" w14:textId="49A4CA26" w:rsidR="006A0DA5" w:rsidRDefault="006A0DA5" w:rsidP="006A0DA5">
      <w:pPr>
        <w:pStyle w:val="NoSpacing"/>
        <w:rPr>
          <w:rFonts w:ascii="Arial" w:hAnsi="Arial" w:cs="Arial"/>
        </w:rPr>
      </w:pPr>
      <w:r w:rsidRPr="006A0DA5">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51EBDF08" w14:textId="63E4513C" w:rsidR="006A0DA5" w:rsidRDefault="006A0DA5" w:rsidP="006A0DA5">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7568" behindDoc="0" locked="0" layoutInCell="1" allowOverlap="1" wp14:anchorId="732FDEEF" wp14:editId="17590791">
                <wp:simplePos x="0" y="0"/>
                <wp:positionH relativeFrom="column">
                  <wp:posOffset>-847725</wp:posOffset>
                </wp:positionH>
                <wp:positionV relativeFrom="paragraph">
                  <wp:posOffset>160020</wp:posOffset>
                </wp:positionV>
                <wp:extent cx="7418070" cy="3613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594FB048" w14:textId="44CF0D0F"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 xml:space="preserve">C.1.8 </w:t>
                            </w:r>
                            <w:r w:rsidRPr="00DA3CDF">
                              <w:rPr>
                                <w:rFonts w:ascii="Arial" w:hAnsi="Arial" w:cs="Arial"/>
                                <w:color w:val="FFFFFF" w:themeColor="background1"/>
                                <w:sz w:val="32"/>
                              </w:rPr>
                              <w:t>Other trade effluent charges applying to short term consents</w:t>
                            </w:r>
                          </w:p>
                          <w:p w14:paraId="612AA873" w14:textId="77777777" w:rsidR="007A7A0C" w:rsidRPr="004616F3" w:rsidRDefault="007A7A0C" w:rsidP="006A0DA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DEEF" id="Text Box 46" o:spid="_x0000_s1071" type="#_x0000_t202" style="position:absolute;margin-left:-66.75pt;margin-top:12.6pt;width:584.1pt;height:2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" fillcolor="#069" stroked="f" strokeweight=".5pt">
                <v:textbox>
                  <w:txbxContent>
                    <w:p w14:paraId="594FB048" w14:textId="44CF0D0F"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 xml:space="preserve">C.1.8 </w:t>
                      </w:r>
                      <w:r w:rsidRPr="00DA3CDF">
                        <w:rPr>
                          <w:rFonts w:ascii="Arial" w:hAnsi="Arial" w:cs="Arial"/>
                          <w:color w:val="FFFFFF" w:themeColor="background1"/>
                          <w:sz w:val="32"/>
                        </w:rPr>
                        <w:t>Other trade effluent charges applying to short term consents</w:t>
                      </w:r>
                    </w:p>
                    <w:p w14:paraId="612AA873" w14:textId="77777777" w:rsidR="007A7A0C" w:rsidRPr="004616F3" w:rsidRDefault="007A7A0C" w:rsidP="006A0DA5">
                      <w:pPr>
                        <w:pStyle w:val="NoSpacing"/>
                        <w:rPr>
                          <w:rFonts w:ascii="Arial" w:hAnsi="Arial" w:cs="Arial"/>
                          <w:color w:val="FFFFFF" w:themeColor="background1"/>
                          <w:sz w:val="32"/>
                        </w:rPr>
                      </w:pPr>
                    </w:p>
                  </w:txbxContent>
                </v:textbox>
              </v:shape>
            </w:pict>
          </mc:Fallback>
        </mc:AlternateContent>
      </w:r>
    </w:p>
    <w:p w14:paraId="5DFD4BBE" w14:textId="7FAA349A" w:rsidR="006A0DA5" w:rsidRDefault="006A0DA5" w:rsidP="006A0DA5">
      <w:pPr>
        <w:pStyle w:val="NoSpacing"/>
        <w:rPr>
          <w:rFonts w:ascii="Arial" w:hAnsi="Arial" w:cs="Arial"/>
        </w:rPr>
      </w:pPr>
    </w:p>
    <w:p w14:paraId="3FB0E950" w14:textId="00F3752A" w:rsidR="00DA3CDF" w:rsidRDefault="00DA3CDF" w:rsidP="00DA3CDF">
      <w:pPr>
        <w:rPr>
          <w:rFonts w:ascii="Arial" w:hAnsi="Arial" w:cs="Arial"/>
        </w:rPr>
      </w:pPr>
    </w:p>
    <w:p w14:paraId="123E888D" w14:textId="0A3B878A" w:rsidR="00DA3CDF" w:rsidRDefault="00DA3CDF" w:rsidP="00DA3CDF">
      <w:pPr>
        <w:rPr>
          <w:rFonts w:ascii="Arial" w:hAnsi="Arial" w:cs="Arial"/>
        </w:rPr>
      </w:pPr>
      <w:r w:rsidRPr="00DA3CDF">
        <w:rPr>
          <w:rFonts w:ascii="Arial" w:hAnsi="Arial" w:cs="Arial"/>
        </w:rPr>
        <w:t xml:space="preserve">We will assume a </w:t>
      </w:r>
      <w:r w:rsidR="00934FB2" w:rsidRPr="00DA3CDF">
        <w:rPr>
          <w:rFonts w:ascii="Arial" w:hAnsi="Arial" w:cs="Arial"/>
        </w:rPr>
        <w:t>short-term</w:t>
      </w:r>
      <w:r w:rsidRPr="00DA3CDF">
        <w:rPr>
          <w:rFonts w:ascii="Arial" w:hAnsi="Arial" w:cs="Arial"/>
        </w:rPr>
        <w:t xml:space="preserve"> discharge for the clean and flush of a heating or chilled water system will be billed on our lowest charging band unless glycol is present. If a </w:t>
      </w:r>
      <w:r w:rsidR="00934FB2" w:rsidRPr="00DA3CDF">
        <w:rPr>
          <w:rFonts w:ascii="Arial" w:hAnsi="Arial" w:cs="Arial"/>
        </w:rPr>
        <w:t>short-term</w:t>
      </w:r>
      <w:r w:rsidRPr="00DA3CDF">
        <w:rPr>
          <w:rFonts w:ascii="Arial" w:hAnsi="Arial" w:cs="Arial"/>
        </w:rPr>
        <w:t xml:space="preserve"> discharge contains </w:t>
      </w:r>
      <w:proofErr w:type="gramStart"/>
      <w:r w:rsidRPr="00DA3CDF">
        <w:rPr>
          <w:rFonts w:ascii="Arial" w:hAnsi="Arial" w:cs="Arial"/>
        </w:rPr>
        <w:t>glycol</w:t>
      </w:r>
      <w:proofErr w:type="gramEnd"/>
      <w:r w:rsidRPr="00DA3CDF">
        <w:rPr>
          <w:rFonts w:ascii="Arial" w:hAnsi="Arial" w:cs="Arial"/>
        </w:rPr>
        <w:t xml:space="preserve"> then we will calculate the charge based on the percentage of glycol having assumed settled chemical oxygen demand (Ot) and settleable solids (St) </w:t>
      </w:r>
      <w:r w:rsidRPr="00DA3CDF">
        <w:rPr>
          <w:rFonts w:ascii="Arial" w:hAnsi="Arial" w:cs="Arial"/>
        </w:rPr>
        <w:lastRenderedPageBreak/>
        <w:t xml:space="preserve">values determined by us. However, if we aren’t sure that a standard strength category is suitable, or you would prefer charging to be based on sample results, we will take samples to decide a suitable billing approach (either a banded or sampled approach as detailed in </w:t>
      </w:r>
      <w:r w:rsidRPr="00934FB2">
        <w:rPr>
          <w:rFonts w:ascii="Arial" w:hAnsi="Arial" w:cs="Arial"/>
        </w:rPr>
        <w:t>C.</w:t>
      </w:r>
      <w:r w:rsidR="00934FB2" w:rsidRPr="00934FB2">
        <w:rPr>
          <w:rFonts w:ascii="Arial" w:hAnsi="Arial" w:cs="Arial"/>
        </w:rPr>
        <w:t>1.5</w:t>
      </w:r>
      <w:r w:rsidRPr="00934FB2">
        <w:rPr>
          <w:rFonts w:ascii="Arial" w:hAnsi="Arial" w:cs="Arial"/>
        </w:rPr>
        <w:t xml:space="preserve"> Sampling &amp; analysis for trade effluent billing.)</w:t>
      </w:r>
      <w:r w:rsidRPr="00DA3CDF">
        <w:rPr>
          <w:rFonts w:ascii="Arial" w:hAnsi="Arial" w:cs="Arial"/>
        </w:rPr>
        <w:t xml:space="preserve"> </w:t>
      </w:r>
    </w:p>
    <w:p w14:paraId="16E26A3B" w14:textId="64EA5A11" w:rsidR="00DA3CDF" w:rsidRDefault="00DA3CDF" w:rsidP="00DA3CDF">
      <w:pPr>
        <w:rPr>
          <w:rFonts w:ascii="Arial" w:hAnsi="Arial" w:cs="Arial"/>
        </w:rPr>
      </w:pPr>
      <w:r w:rsidRPr="00DA3CDF">
        <w:rPr>
          <w:rFonts w:ascii="Arial" w:hAnsi="Arial" w:cs="Arial"/>
        </w:rPr>
        <w:t xml:space="preserve">Short term consents will be charged to you as non-primary charges and will be calculated in line with the trade effluent charges set out in </w:t>
      </w:r>
      <w:r w:rsidRPr="00D447C5">
        <w:rPr>
          <w:rFonts w:ascii="Arial" w:hAnsi="Arial" w:cs="Arial"/>
        </w:rPr>
        <w:t>B.</w:t>
      </w:r>
      <w:r w:rsidR="003A38E1">
        <w:rPr>
          <w:rFonts w:ascii="Arial" w:hAnsi="Arial" w:cs="Arial"/>
        </w:rPr>
        <w:t>2</w:t>
      </w:r>
      <w:r w:rsidRPr="00D447C5">
        <w:rPr>
          <w:rFonts w:ascii="Arial" w:hAnsi="Arial" w:cs="Arial"/>
        </w:rPr>
        <w:t xml:space="preserve"> Trade Effluent charges of the Primary Tariff Schedule.</w:t>
      </w:r>
    </w:p>
    <w:p w14:paraId="59B60D0E" w14:textId="77777777" w:rsidR="00FC442E" w:rsidRDefault="00FC442E" w:rsidP="00DA3CDF">
      <w:pPr>
        <w:rPr>
          <w:rFonts w:ascii="Arial" w:hAnsi="Arial" w:cs="Arial"/>
        </w:rPr>
      </w:pPr>
    </w:p>
    <w:p w14:paraId="710E74D6" w14:textId="56170666" w:rsidR="00DA3CDF" w:rsidRDefault="00DA3CDF" w:rsidP="00DA3CDF">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9616" behindDoc="0" locked="0" layoutInCell="1" allowOverlap="1" wp14:anchorId="30AFA637" wp14:editId="3DB6B83C">
                <wp:simplePos x="0" y="0"/>
                <wp:positionH relativeFrom="column">
                  <wp:posOffset>-857250</wp:posOffset>
                </wp:positionH>
                <wp:positionV relativeFrom="paragraph">
                  <wp:posOffset>-20955</wp:posOffset>
                </wp:positionV>
                <wp:extent cx="7418070" cy="361315"/>
                <wp:effectExtent l="0" t="0" r="0" b="635"/>
                <wp:wrapNone/>
                <wp:docPr id="47" name="Text Box 47"/>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49FB3B94" w14:textId="3492755E" w:rsidR="007A7A0C" w:rsidRPr="004616F3" w:rsidRDefault="007A7A0C" w:rsidP="00DA3CDF">
                            <w:pPr>
                              <w:pStyle w:val="NoSpacing"/>
                              <w:rPr>
                                <w:rFonts w:ascii="Arial" w:hAnsi="Arial" w:cs="Arial"/>
                                <w:color w:val="FFFFFF" w:themeColor="background1"/>
                                <w:sz w:val="32"/>
                              </w:rPr>
                            </w:pPr>
                            <w:r>
                              <w:rPr>
                                <w:rFonts w:ascii="Arial" w:hAnsi="Arial" w:cs="Arial"/>
                                <w:color w:val="FFFFFF" w:themeColor="background1"/>
                                <w:sz w:val="32"/>
                              </w:rPr>
                              <w:t>Part D: Payment and credit support terms</w:t>
                            </w:r>
                          </w:p>
                          <w:p w14:paraId="46296B5E" w14:textId="77777777" w:rsidR="007A7A0C" w:rsidRPr="004616F3" w:rsidRDefault="007A7A0C" w:rsidP="00DA3CD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A637" id="Text Box 47" o:spid="_x0000_s1072" type="#_x0000_t202" style="position:absolute;margin-left:-67.5pt;margin-top:-1.65pt;width:584.1pt;height:2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" fillcolor="#069" stroked="f" strokeweight=".5pt">
                <v:textbox>
                  <w:txbxContent>
                    <w:p w14:paraId="49FB3B94" w14:textId="3492755E" w:rsidR="007A7A0C" w:rsidRPr="004616F3" w:rsidRDefault="007A7A0C" w:rsidP="00DA3CDF">
                      <w:pPr>
                        <w:pStyle w:val="NoSpacing"/>
                        <w:rPr>
                          <w:rFonts w:ascii="Arial" w:hAnsi="Arial" w:cs="Arial"/>
                          <w:color w:val="FFFFFF" w:themeColor="background1"/>
                          <w:sz w:val="32"/>
                        </w:rPr>
                      </w:pPr>
                      <w:r>
                        <w:rPr>
                          <w:rFonts w:ascii="Arial" w:hAnsi="Arial" w:cs="Arial"/>
                          <w:color w:val="FFFFFF" w:themeColor="background1"/>
                          <w:sz w:val="32"/>
                        </w:rPr>
                        <w:t>Part D: Payment and credit support terms</w:t>
                      </w:r>
                    </w:p>
                    <w:p w14:paraId="46296B5E" w14:textId="77777777" w:rsidR="007A7A0C" w:rsidRPr="004616F3" w:rsidRDefault="007A7A0C" w:rsidP="00DA3CDF">
                      <w:pPr>
                        <w:pStyle w:val="NoSpacing"/>
                        <w:rPr>
                          <w:rFonts w:ascii="Arial" w:hAnsi="Arial" w:cs="Arial"/>
                          <w:color w:val="FFFFFF" w:themeColor="background1"/>
                          <w:sz w:val="32"/>
                        </w:rPr>
                      </w:pPr>
                    </w:p>
                  </w:txbxContent>
                </v:textbox>
              </v:shape>
            </w:pict>
          </mc:Fallback>
        </mc:AlternateContent>
      </w:r>
    </w:p>
    <w:p w14:paraId="23C63CAF" w14:textId="24E01694" w:rsidR="00DA3CDF" w:rsidRDefault="00DA3CDF" w:rsidP="00DA3CDF">
      <w:pPr>
        <w:rPr>
          <w:rFonts w:ascii="Arial" w:hAnsi="Arial" w:cs="Arial"/>
        </w:rPr>
      </w:pPr>
    </w:p>
    <w:p w14:paraId="22F0EB1B" w14:textId="77777777" w:rsidR="00DA3CDF" w:rsidRDefault="00DA3CDF" w:rsidP="00DA3CDF">
      <w:pPr>
        <w:rPr>
          <w:rFonts w:ascii="Arial" w:hAnsi="Arial" w:cs="Arial"/>
        </w:rPr>
      </w:pPr>
      <w:r w:rsidRPr="00DA3CDF">
        <w:rPr>
          <w:rFonts w:ascii="Arial" w:hAnsi="Arial" w:cs="Arial"/>
        </w:rPr>
        <w:t xml:space="preserve">The charges payable by a retailer shall be due and payable in accordance with the provisions of the Wholesale Contract for Wholesale Services between </w:t>
      </w:r>
      <w:r>
        <w:rPr>
          <w:rFonts w:ascii="Arial" w:hAnsi="Arial" w:cs="Arial"/>
        </w:rPr>
        <w:t xml:space="preserve">County </w:t>
      </w:r>
      <w:r w:rsidRPr="00DA3CDF">
        <w:rPr>
          <w:rFonts w:ascii="Arial" w:hAnsi="Arial" w:cs="Arial"/>
        </w:rPr>
        <w:t>Water</w:t>
      </w:r>
      <w:r>
        <w:rPr>
          <w:rFonts w:ascii="Arial" w:hAnsi="Arial" w:cs="Arial"/>
        </w:rPr>
        <w:t xml:space="preserve"> Ltd</w:t>
      </w:r>
      <w:r w:rsidRPr="00DA3CDF">
        <w:rPr>
          <w:rFonts w:ascii="Arial" w:hAnsi="Arial" w:cs="Arial"/>
        </w:rPr>
        <w:t xml:space="preserve"> and the retailer. </w:t>
      </w:r>
    </w:p>
    <w:p w14:paraId="1341EDBD" w14:textId="77777777" w:rsidR="00DA3CDF" w:rsidRPr="00DA3CDF" w:rsidRDefault="00DA3CDF" w:rsidP="00DA3CDF">
      <w:pPr>
        <w:pStyle w:val="NoSpacing"/>
        <w:rPr>
          <w:rFonts w:ascii="Arial" w:hAnsi="Arial" w:cs="Arial"/>
          <w:b/>
        </w:rPr>
      </w:pPr>
      <w:r w:rsidRPr="00DA3CDF">
        <w:rPr>
          <w:rFonts w:ascii="Arial" w:hAnsi="Arial" w:cs="Arial"/>
          <w:b/>
        </w:rPr>
        <w:t xml:space="preserve">Invoicing </w:t>
      </w:r>
    </w:p>
    <w:p w14:paraId="301776AD" w14:textId="77777777" w:rsidR="00DA3CDF" w:rsidRDefault="00DA3CDF" w:rsidP="00DA3CDF">
      <w:pPr>
        <w:rPr>
          <w:rFonts w:ascii="Arial" w:hAnsi="Arial" w:cs="Arial"/>
        </w:rPr>
      </w:pPr>
      <w:r w:rsidRPr="003A38E1">
        <w:rPr>
          <w:rFonts w:ascii="Arial" w:hAnsi="Arial" w:cs="Arial"/>
        </w:rPr>
        <w:t>On or before 15 February in each calendar year, we will publish our invoicing timetable for primary charges and non-primary charges and associated credit notices, specifically:</w:t>
      </w:r>
      <w:r w:rsidRPr="00DA3CDF">
        <w:rPr>
          <w:rFonts w:ascii="Arial" w:hAnsi="Arial" w:cs="Arial"/>
        </w:rPr>
        <w:t xml:space="preserve"> </w:t>
      </w:r>
    </w:p>
    <w:p w14:paraId="58F9BC4C"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primary charges – we will issue invoices based on the billable amounts calculated on our behalf by the market operator and in line with planned settlement runs Where the market operator undertakes unplanned settlement </w:t>
      </w:r>
      <w:proofErr w:type="gramStart"/>
      <w:r w:rsidRPr="00DA3CDF">
        <w:rPr>
          <w:rFonts w:ascii="Arial" w:hAnsi="Arial" w:cs="Arial"/>
        </w:rPr>
        <w:t>runs</w:t>
      </w:r>
      <w:proofErr w:type="gramEnd"/>
      <w:r w:rsidRPr="00DA3CDF">
        <w:rPr>
          <w:rFonts w:ascii="Arial" w:hAnsi="Arial" w:cs="Arial"/>
        </w:rPr>
        <w:t xml:space="preserve"> we will issue invoices as appropriate; </w:t>
      </w:r>
    </w:p>
    <w:p w14:paraId="0D5081A4"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credit support notices - we will issue notices as per our invoicing timetable on the basis of P1 settlement files generated by the market operator and from time to time as changes to credit rating or credit scores </w:t>
      </w:r>
      <w:proofErr w:type="gramStart"/>
      <w:r w:rsidRPr="00DA3CDF">
        <w:rPr>
          <w:rFonts w:ascii="Arial" w:hAnsi="Arial" w:cs="Arial"/>
        </w:rPr>
        <w:t>dictate;</w:t>
      </w:r>
      <w:proofErr w:type="gramEnd"/>
      <w:r w:rsidRPr="00DA3CDF">
        <w:rPr>
          <w:rFonts w:ascii="Arial" w:hAnsi="Arial" w:cs="Arial"/>
        </w:rPr>
        <w:t xml:space="preserve"> </w:t>
      </w:r>
    </w:p>
    <w:p w14:paraId="22B87D35"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non-primary charges - </w:t>
      </w:r>
      <w:proofErr w:type="gramStart"/>
      <w:r w:rsidRPr="00DA3CDF">
        <w:rPr>
          <w:rFonts w:ascii="Arial" w:hAnsi="Arial" w:cs="Arial"/>
        </w:rPr>
        <w:t>on a monthly basis</w:t>
      </w:r>
      <w:proofErr w:type="gramEnd"/>
      <w:r w:rsidRPr="00DA3CDF">
        <w:rPr>
          <w:rFonts w:ascii="Arial" w:hAnsi="Arial" w:cs="Arial"/>
        </w:rPr>
        <w:t xml:space="preserve"> we will issue you with an invoice for all of the related services utilised over the previous calendar month. There may be cases where we undertake ad hoc invoicing due to contractual obligations; and, </w:t>
      </w:r>
    </w:p>
    <w:p w14:paraId="4028A24F"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we request that you pay all invoices in full within 15 calendar days of receiving our invoice, or 30 calendar days after the delivery month, whichever is later. </w:t>
      </w:r>
    </w:p>
    <w:p w14:paraId="5808C0D7" w14:textId="77777777" w:rsidR="00DA3CDF" w:rsidRDefault="00DA3CDF" w:rsidP="00DA3CDF">
      <w:pPr>
        <w:rPr>
          <w:rFonts w:ascii="Arial" w:hAnsi="Arial" w:cs="Arial"/>
        </w:rPr>
      </w:pPr>
      <w:r w:rsidRPr="00DA3CDF">
        <w:rPr>
          <w:rFonts w:ascii="Arial" w:hAnsi="Arial" w:cs="Arial"/>
        </w:rPr>
        <w:t xml:space="preserve">We will always exercise our contractual rights to terminate a contract should you fail to pay an invoice in a timely manner. Late payment of invoices will be subject to a late payment interest of 4% above Bank of England base rate and any non-payment of an invoiced amount may lead to us declaring you a defaulting trading party, as per the Wholesale Contract/Wholesale-Retail Code, and to the termination of our contract with you. </w:t>
      </w:r>
    </w:p>
    <w:p w14:paraId="34FA75A0" w14:textId="77777777" w:rsidR="00DA3CDF" w:rsidRPr="00DA3CDF" w:rsidRDefault="00DA3CDF" w:rsidP="00DA3CDF">
      <w:pPr>
        <w:pStyle w:val="NoSpacing"/>
        <w:rPr>
          <w:rFonts w:ascii="Arial" w:hAnsi="Arial" w:cs="Arial"/>
          <w:b/>
        </w:rPr>
      </w:pPr>
      <w:r w:rsidRPr="00DA3CDF">
        <w:rPr>
          <w:rFonts w:ascii="Arial" w:hAnsi="Arial" w:cs="Arial"/>
          <w:b/>
        </w:rPr>
        <w:t xml:space="preserve">Making payments </w:t>
      </w:r>
    </w:p>
    <w:p w14:paraId="36C988FF" w14:textId="77777777" w:rsidR="00DA3CDF" w:rsidRDefault="00DA3CDF" w:rsidP="00DA3CDF">
      <w:pPr>
        <w:rPr>
          <w:rFonts w:ascii="Arial" w:hAnsi="Arial" w:cs="Arial"/>
        </w:rPr>
      </w:pPr>
      <w:r w:rsidRPr="00DA3CDF">
        <w:rPr>
          <w:rFonts w:ascii="Arial" w:hAnsi="Arial" w:cs="Arial"/>
        </w:rPr>
        <w:t xml:space="preserve">Primary charges - where any reconciliation balances results in us owing you money we will credit your bank account and we will pay you directly within 15 business days from the date of the credit note we issued. We will pay money </w:t>
      </w:r>
      <w:r w:rsidRPr="003A38E1">
        <w:rPr>
          <w:rFonts w:ascii="Arial" w:hAnsi="Arial" w:cs="Arial"/>
        </w:rPr>
        <w:t>via BACS</w:t>
      </w:r>
      <w:r w:rsidRPr="00DA3CDF">
        <w:rPr>
          <w:rFonts w:ascii="Arial" w:hAnsi="Arial" w:cs="Arial"/>
        </w:rPr>
        <w:t xml:space="preserve"> into a bank account that you have declared. </w:t>
      </w:r>
    </w:p>
    <w:p w14:paraId="53EC91CE" w14:textId="79E21E2C" w:rsidR="00DA3CDF" w:rsidRDefault="00DA3CDF" w:rsidP="00DA3CDF">
      <w:pPr>
        <w:rPr>
          <w:rFonts w:ascii="Arial" w:hAnsi="Arial" w:cs="Arial"/>
        </w:rPr>
      </w:pPr>
      <w:r w:rsidRPr="00DA3CDF">
        <w:rPr>
          <w:rFonts w:ascii="Arial" w:hAnsi="Arial" w:cs="Arial"/>
        </w:rPr>
        <w:t xml:space="preserve">Non-primary charges - if we were to owe you money associated to a service with nonprimary charges we will issue you a credit note in line with the Wholesale Contract/Wholesale-Retail Code. </w:t>
      </w:r>
    </w:p>
    <w:p w14:paraId="72AC77E4" w14:textId="5D80540C" w:rsidR="002C04C3" w:rsidRDefault="002C04C3" w:rsidP="00DA3CDF">
      <w:pPr>
        <w:rPr>
          <w:rFonts w:ascii="Arial" w:hAnsi="Arial" w:cs="Arial"/>
        </w:rPr>
      </w:pPr>
    </w:p>
    <w:p w14:paraId="1F2531B2" w14:textId="77777777" w:rsidR="002C04C3" w:rsidRDefault="002C04C3" w:rsidP="00DA3CDF">
      <w:pPr>
        <w:rPr>
          <w:rFonts w:ascii="Arial" w:hAnsi="Arial" w:cs="Arial"/>
        </w:rPr>
      </w:pPr>
    </w:p>
    <w:p w14:paraId="6691CAF7" w14:textId="77777777" w:rsidR="00DA3CDF" w:rsidRPr="00DA3CDF" w:rsidRDefault="00DA3CDF" w:rsidP="00DA3CDF">
      <w:pPr>
        <w:pStyle w:val="NoSpacing"/>
        <w:rPr>
          <w:rFonts w:ascii="Arial" w:hAnsi="Arial" w:cs="Arial"/>
          <w:b/>
        </w:rPr>
      </w:pPr>
      <w:r w:rsidRPr="00DA3CDF">
        <w:rPr>
          <w:rFonts w:ascii="Arial" w:hAnsi="Arial" w:cs="Arial"/>
          <w:b/>
        </w:rPr>
        <w:t xml:space="preserve">Guaranteed Standards Scheme Regulations and drought payments </w:t>
      </w:r>
    </w:p>
    <w:p w14:paraId="44A48A55" w14:textId="77777777" w:rsidR="00DA3CDF" w:rsidRDefault="00DA3CDF" w:rsidP="00DA3CDF">
      <w:pPr>
        <w:rPr>
          <w:rFonts w:ascii="Arial" w:hAnsi="Arial" w:cs="Arial"/>
        </w:rPr>
      </w:pPr>
      <w:r w:rsidRPr="00DA3CDF">
        <w:rPr>
          <w:rFonts w:ascii="Arial" w:hAnsi="Arial" w:cs="Arial"/>
        </w:rPr>
        <w:t xml:space="preserve">To meet our requirements under the Wholesale Contract/Wholesale-Retail Code, we will make payments to you </w:t>
      </w:r>
      <w:proofErr w:type="gramStart"/>
      <w:r w:rsidRPr="00DA3CDF">
        <w:rPr>
          <w:rFonts w:ascii="Arial" w:hAnsi="Arial" w:cs="Arial"/>
        </w:rPr>
        <w:t>on a daily basis</w:t>
      </w:r>
      <w:proofErr w:type="gramEnd"/>
      <w:r w:rsidRPr="00DA3CDF">
        <w:rPr>
          <w:rFonts w:ascii="Arial" w:hAnsi="Arial" w:cs="Arial"/>
        </w:rPr>
        <w:t xml:space="preserve"> as needed, or if agreed, an accumulated monthly payment, for any Guaranteed Standards Scheme Regulations payments due. </w:t>
      </w:r>
    </w:p>
    <w:p w14:paraId="43CEE3E3" w14:textId="1F301774" w:rsidR="00DA3CDF" w:rsidRDefault="00DA3CDF" w:rsidP="00DA3CDF">
      <w:pPr>
        <w:rPr>
          <w:rFonts w:ascii="Arial" w:hAnsi="Arial" w:cs="Arial"/>
        </w:rPr>
      </w:pPr>
      <w:r w:rsidRPr="00DA3CDF">
        <w:rPr>
          <w:rFonts w:ascii="Arial" w:hAnsi="Arial" w:cs="Arial"/>
        </w:rPr>
        <w:t>Under the Wholesale Contract/Wholesale-Retail Code, you are required to pass on any relevant payments to your non-household customers, including drought payments.</w:t>
      </w:r>
    </w:p>
    <w:p w14:paraId="078D8C23" w14:textId="77777777" w:rsidR="00FC442E" w:rsidRDefault="00FC442E" w:rsidP="00497A3B">
      <w:pPr>
        <w:pStyle w:val="NoSpacing"/>
        <w:rPr>
          <w:rFonts w:ascii="Arial" w:hAnsi="Arial" w:cs="Arial"/>
          <w:b/>
        </w:rPr>
      </w:pPr>
    </w:p>
    <w:p w14:paraId="3B33AE60" w14:textId="6ACAF7B3" w:rsidR="00497A3B" w:rsidRPr="00497A3B" w:rsidRDefault="00DA3CDF" w:rsidP="00497A3B">
      <w:pPr>
        <w:pStyle w:val="NoSpacing"/>
        <w:rPr>
          <w:rFonts w:ascii="Arial" w:hAnsi="Arial" w:cs="Arial"/>
          <w:b/>
        </w:rPr>
      </w:pPr>
      <w:r w:rsidRPr="00497A3B">
        <w:rPr>
          <w:rFonts w:ascii="Arial" w:hAnsi="Arial" w:cs="Arial"/>
          <w:b/>
        </w:rPr>
        <w:t xml:space="preserve">Payments to your non-household customers </w:t>
      </w:r>
    </w:p>
    <w:p w14:paraId="73EA890E" w14:textId="77777777" w:rsidR="00497A3B" w:rsidRDefault="00DA3CDF" w:rsidP="00DA3CDF">
      <w:pPr>
        <w:rPr>
          <w:rFonts w:ascii="Arial" w:hAnsi="Arial" w:cs="Arial"/>
        </w:rPr>
      </w:pPr>
      <w:r w:rsidRPr="00DA3CDF">
        <w:rPr>
          <w:rFonts w:ascii="Arial" w:hAnsi="Arial" w:cs="Arial"/>
        </w:rPr>
        <w:t xml:space="preserve">There may be scenarios where we will make payments to you to pass on to your </w:t>
      </w:r>
      <w:proofErr w:type="spellStart"/>
      <w:r w:rsidRPr="00DA3CDF">
        <w:rPr>
          <w:rFonts w:ascii="Arial" w:hAnsi="Arial" w:cs="Arial"/>
        </w:rPr>
        <w:t>nonhousehold</w:t>
      </w:r>
      <w:proofErr w:type="spellEnd"/>
      <w:r w:rsidRPr="00DA3CDF">
        <w:rPr>
          <w:rFonts w:ascii="Arial" w:hAnsi="Arial" w:cs="Arial"/>
        </w:rPr>
        <w:t xml:space="preserve"> customer for example, we may offer payments to contribute to energy consumption for Flood Local Improvement Project devices, or similarly, for energy consumption when a Small Sewerage Pumping Station is located on the customer’s premises.</w:t>
      </w:r>
    </w:p>
    <w:p w14:paraId="299E7343" w14:textId="77777777" w:rsidR="00497A3B" w:rsidRDefault="00DA3CDF" w:rsidP="00DA3CDF">
      <w:pPr>
        <w:rPr>
          <w:rFonts w:ascii="Arial" w:hAnsi="Arial" w:cs="Arial"/>
        </w:rPr>
      </w:pPr>
      <w:r w:rsidRPr="00DA3CDF">
        <w:rPr>
          <w:rFonts w:ascii="Arial" w:hAnsi="Arial" w:cs="Arial"/>
        </w:rPr>
        <w:t xml:space="preserve">In accordance with the Wholesale Contract/Wholesale-Retail Code, you will be expected to pass any relevant payments on to your non-household customer. </w:t>
      </w:r>
    </w:p>
    <w:p w14:paraId="48DA4B71" w14:textId="7F77E8B8" w:rsidR="00497A3B" w:rsidRDefault="00DA3CDF" w:rsidP="00DA3CDF">
      <w:pPr>
        <w:rPr>
          <w:rFonts w:ascii="Arial" w:hAnsi="Arial" w:cs="Arial"/>
        </w:rPr>
      </w:pPr>
      <w:r w:rsidRPr="00DA3CDF">
        <w:rPr>
          <w:rFonts w:ascii="Arial" w:hAnsi="Arial" w:cs="Arial"/>
        </w:rPr>
        <w:t>We do not currently offer any contributions</w:t>
      </w:r>
      <w:r w:rsidR="00FC442E">
        <w:rPr>
          <w:rFonts w:ascii="Arial" w:hAnsi="Arial" w:cs="Arial"/>
        </w:rPr>
        <w:t>,</w:t>
      </w:r>
      <w:r w:rsidRPr="00DA3CDF">
        <w:rPr>
          <w:rFonts w:ascii="Arial" w:hAnsi="Arial" w:cs="Arial"/>
        </w:rPr>
        <w:t xml:space="preserve"> financial </w:t>
      </w:r>
      <w:proofErr w:type="gramStart"/>
      <w:r w:rsidRPr="00DA3CDF">
        <w:rPr>
          <w:rFonts w:ascii="Arial" w:hAnsi="Arial" w:cs="Arial"/>
        </w:rPr>
        <w:t>offerings</w:t>
      </w:r>
      <w:proofErr w:type="gramEnd"/>
      <w:r w:rsidR="00FC442E">
        <w:rPr>
          <w:rFonts w:ascii="Arial" w:hAnsi="Arial" w:cs="Arial"/>
        </w:rPr>
        <w:t xml:space="preserve"> or incentives</w:t>
      </w:r>
      <w:r w:rsidRPr="00DA3CDF">
        <w:rPr>
          <w:rFonts w:ascii="Arial" w:hAnsi="Arial" w:cs="Arial"/>
        </w:rPr>
        <w:t xml:space="preserve"> for a meter to be installed at an unmeasured supply point</w:t>
      </w:r>
      <w:r w:rsidR="00FC442E">
        <w:rPr>
          <w:rFonts w:ascii="Arial" w:hAnsi="Arial" w:cs="Arial"/>
        </w:rPr>
        <w:t xml:space="preserve"> or vacant premises identification. </w:t>
      </w:r>
    </w:p>
    <w:p w14:paraId="31D38EBE" w14:textId="77777777" w:rsidR="00497A3B" w:rsidRPr="00497A3B" w:rsidRDefault="00DA3CDF" w:rsidP="00497A3B">
      <w:pPr>
        <w:pStyle w:val="NoSpacing"/>
        <w:rPr>
          <w:rFonts w:ascii="Arial" w:hAnsi="Arial" w:cs="Arial"/>
          <w:b/>
        </w:rPr>
      </w:pPr>
      <w:r w:rsidRPr="00497A3B">
        <w:rPr>
          <w:rFonts w:ascii="Arial" w:hAnsi="Arial" w:cs="Arial"/>
          <w:b/>
        </w:rPr>
        <w:t>Credit support</w:t>
      </w:r>
    </w:p>
    <w:p w14:paraId="528232F5" w14:textId="77777777" w:rsidR="00497A3B" w:rsidRDefault="00DA3CDF" w:rsidP="00DA3CDF">
      <w:pPr>
        <w:rPr>
          <w:rFonts w:ascii="Arial" w:hAnsi="Arial" w:cs="Arial"/>
        </w:rPr>
      </w:pPr>
      <w:r w:rsidRPr="00DA3CDF">
        <w:rPr>
          <w:rFonts w:ascii="Arial" w:hAnsi="Arial" w:cs="Arial"/>
        </w:rPr>
        <w:t xml:space="preserve">We will apply the requirements of the Wholesale Contract/Wholesale-Retail Code to ensure that, </w:t>
      </w:r>
      <w:proofErr w:type="gramStart"/>
      <w:r w:rsidRPr="00DA3CDF">
        <w:rPr>
          <w:rFonts w:ascii="Arial" w:hAnsi="Arial" w:cs="Arial"/>
        </w:rPr>
        <w:t>at all times</w:t>
      </w:r>
      <w:proofErr w:type="gramEnd"/>
      <w:r w:rsidRPr="00DA3CDF">
        <w:rPr>
          <w:rFonts w:ascii="Arial" w:hAnsi="Arial" w:cs="Arial"/>
        </w:rPr>
        <w:t xml:space="preserve">, you have established the appropriate level of credit support. We will always exercise our contractual rights to terminate a contract should you fail to establish the appropriate level of credit in a timely manner. </w:t>
      </w:r>
    </w:p>
    <w:p w14:paraId="0B2DB39A" w14:textId="77777777" w:rsidR="00497A3B" w:rsidRDefault="00DA3CDF" w:rsidP="00DA3CDF">
      <w:pPr>
        <w:rPr>
          <w:rFonts w:ascii="Arial" w:hAnsi="Arial" w:cs="Arial"/>
        </w:rPr>
      </w:pPr>
      <w:r w:rsidRPr="00DA3CDF">
        <w:rPr>
          <w:rFonts w:ascii="Arial" w:hAnsi="Arial" w:cs="Arial"/>
        </w:rPr>
        <w:t xml:space="preserve">We have </w:t>
      </w:r>
      <w:proofErr w:type="gramStart"/>
      <w:r w:rsidRPr="00DA3CDF">
        <w:rPr>
          <w:rFonts w:ascii="Arial" w:hAnsi="Arial" w:cs="Arial"/>
        </w:rPr>
        <w:t>entered into</w:t>
      </w:r>
      <w:proofErr w:type="gramEnd"/>
      <w:r w:rsidRPr="00DA3CDF">
        <w:rPr>
          <w:rFonts w:ascii="Arial" w:hAnsi="Arial" w:cs="Arial"/>
        </w:rPr>
        <w:t xml:space="preserve"> a number of alternative eligible credit arrangements in order to allow retailers to reduce the amount of credit support required which are published on our website. Equivalent terms are available to all retailers selecting the post payment option. </w:t>
      </w:r>
    </w:p>
    <w:p w14:paraId="5A805672" w14:textId="77777777" w:rsidR="00497A3B" w:rsidRDefault="00DA3CDF" w:rsidP="00DA3CDF">
      <w:pPr>
        <w:rPr>
          <w:rFonts w:ascii="Arial" w:hAnsi="Arial" w:cs="Arial"/>
        </w:rPr>
      </w:pPr>
      <w:r w:rsidRPr="00DA3CDF">
        <w:rPr>
          <w:rFonts w:ascii="Arial" w:hAnsi="Arial" w:cs="Arial"/>
        </w:rPr>
        <w:t xml:space="preserve">Primary charges credit support – will be in line with the requirements of the Wholesale Contract/Wholesale-Retail Code. </w:t>
      </w:r>
    </w:p>
    <w:p w14:paraId="72CD48B5" w14:textId="77777777" w:rsidR="00497A3B" w:rsidRPr="00497A3B" w:rsidRDefault="00DA3CDF" w:rsidP="00497A3B">
      <w:pPr>
        <w:pStyle w:val="NoSpacing"/>
        <w:rPr>
          <w:rFonts w:ascii="Arial" w:hAnsi="Arial" w:cs="Arial"/>
          <w:b/>
        </w:rPr>
      </w:pPr>
      <w:r w:rsidRPr="00497A3B">
        <w:rPr>
          <w:rFonts w:ascii="Arial" w:hAnsi="Arial" w:cs="Arial"/>
          <w:b/>
        </w:rPr>
        <w:t xml:space="preserve">Back charging </w:t>
      </w:r>
    </w:p>
    <w:p w14:paraId="21B684B5" w14:textId="732DBA4D" w:rsidR="00497A3B" w:rsidRDefault="00FC442E" w:rsidP="00DA3CDF">
      <w:pPr>
        <w:rPr>
          <w:rFonts w:ascii="Arial" w:hAnsi="Arial" w:cs="Arial"/>
        </w:rPr>
      </w:pPr>
      <w:r>
        <w:rPr>
          <w:rFonts w:ascii="Arial" w:hAnsi="Arial" w:cs="Arial"/>
        </w:rPr>
        <w:t>The maximum back charge allowed under prevailing market</w:t>
      </w:r>
      <w:r w:rsidR="006D4B92">
        <w:rPr>
          <w:rFonts w:ascii="Arial" w:hAnsi="Arial" w:cs="Arial"/>
        </w:rPr>
        <w:t xml:space="preserve"> rules, contracts and regulations will be sought. </w:t>
      </w:r>
    </w:p>
    <w:p w14:paraId="3C51167B" w14:textId="77777777" w:rsidR="006D4B92" w:rsidRDefault="006D4B92" w:rsidP="00DA3CDF">
      <w:pPr>
        <w:rPr>
          <w:rFonts w:ascii="Arial" w:hAnsi="Arial" w:cs="Arial"/>
        </w:rPr>
      </w:pPr>
    </w:p>
    <w:p w14:paraId="16D76624" w14:textId="6076358A" w:rsidR="00497A3B" w:rsidRDefault="00497A3B" w:rsidP="00DA3CDF">
      <w:pPr>
        <w:rPr>
          <w:rFonts w:ascii="Arial" w:hAnsi="Arial" w:cs="Arial"/>
        </w:rPr>
      </w:pPr>
    </w:p>
    <w:p w14:paraId="31F0CD65" w14:textId="7E04627F" w:rsidR="00497A3B" w:rsidRDefault="00497A3B" w:rsidP="00DA3CDF">
      <w:pPr>
        <w:rPr>
          <w:rFonts w:ascii="Arial" w:hAnsi="Arial" w:cs="Arial"/>
        </w:rPr>
      </w:pPr>
    </w:p>
    <w:p w14:paraId="094394EE" w14:textId="00B52C6E" w:rsidR="00497A3B" w:rsidRDefault="00497A3B" w:rsidP="00DA3CDF">
      <w:pPr>
        <w:rPr>
          <w:rFonts w:ascii="Arial" w:hAnsi="Arial" w:cs="Arial"/>
        </w:rPr>
      </w:pPr>
    </w:p>
    <w:p w14:paraId="417633C1" w14:textId="6EAC4B01" w:rsidR="00497A3B" w:rsidRDefault="00497A3B" w:rsidP="00DA3CDF">
      <w:pPr>
        <w:rPr>
          <w:rFonts w:ascii="Arial" w:hAnsi="Arial" w:cs="Arial"/>
        </w:rPr>
      </w:pPr>
    </w:p>
    <w:p w14:paraId="62C64D23" w14:textId="3627E443" w:rsidR="00497A3B" w:rsidRDefault="00497A3B" w:rsidP="00DA3CDF">
      <w:pPr>
        <w:rPr>
          <w:rFonts w:ascii="Arial" w:hAnsi="Arial" w:cs="Arial"/>
        </w:rPr>
      </w:pPr>
    </w:p>
    <w:p w14:paraId="336CBD46" w14:textId="77777777" w:rsidR="00FC442E" w:rsidRDefault="00FC442E" w:rsidP="00DA3CDF">
      <w:pPr>
        <w:rPr>
          <w:rFonts w:ascii="Arial" w:hAnsi="Arial" w:cs="Arial"/>
        </w:rPr>
      </w:pPr>
    </w:p>
    <w:p w14:paraId="3C449EFD" w14:textId="0DD845ED" w:rsidR="00497A3B" w:rsidRDefault="00497A3B" w:rsidP="00DA3CDF">
      <w:pPr>
        <w:rPr>
          <w:rFonts w:ascii="Arial" w:hAnsi="Arial" w:cs="Arial"/>
        </w:rPr>
      </w:pPr>
    </w:p>
    <w:p w14:paraId="3CFF5563" w14:textId="466ABDF0" w:rsidR="006D4B92" w:rsidRDefault="006D4B92" w:rsidP="00DA3CDF">
      <w:pPr>
        <w:rPr>
          <w:rFonts w:ascii="Arial" w:hAnsi="Arial" w:cs="Arial"/>
        </w:rPr>
      </w:pPr>
    </w:p>
    <w:p w14:paraId="60075F6C" w14:textId="67B514FF" w:rsidR="00497A3B" w:rsidRDefault="0058561C" w:rsidP="00DA3CDF">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61664" behindDoc="0" locked="0" layoutInCell="1" allowOverlap="1" wp14:anchorId="778EB5EF" wp14:editId="3116D34A">
                <wp:simplePos x="0" y="0"/>
                <wp:positionH relativeFrom="column">
                  <wp:posOffset>-857250</wp:posOffset>
                </wp:positionH>
                <wp:positionV relativeFrom="paragraph">
                  <wp:posOffset>-86360</wp:posOffset>
                </wp:positionV>
                <wp:extent cx="7418070" cy="361315"/>
                <wp:effectExtent l="0" t="0" r="0" b="635"/>
                <wp:wrapNone/>
                <wp:docPr id="48" name="Text Box 48"/>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76A17CD6" w14:textId="74374ED5" w:rsidR="007A7A0C" w:rsidRPr="004616F3" w:rsidRDefault="007A7A0C" w:rsidP="0058561C">
                            <w:pPr>
                              <w:pStyle w:val="NoSpacing"/>
                              <w:rPr>
                                <w:rFonts w:ascii="Arial" w:hAnsi="Arial" w:cs="Arial"/>
                                <w:color w:val="FFFFFF" w:themeColor="background1"/>
                                <w:sz w:val="32"/>
                              </w:rPr>
                            </w:pPr>
                            <w:r>
                              <w:rPr>
                                <w:rFonts w:ascii="Arial" w:hAnsi="Arial" w:cs="Arial"/>
                                <w:color w:val="FFFFFF" w:themeColor="background1"/>
                                <w:sz w:val="32"/>
                              </w:rPr>
                              <w:t>Part E: Defined terms</w:t>
                            </w:r>
                          </w:p>
                          <w:p w14:paraId="2C3F242A" w14:textId="77777777" w:rsidR="007A7A0C" w:rsidRPr="004616F3" w:rsidRDefault="007A7A0C" w:rsidP="0058561C">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B5EF" id="Text Box 48" o:spid="_x0000_s1073" type="#_x0000_t202" style="position:absolute;margin-left:-67.5pt;margin-top:-6.8pt;width:584.1pt;height:2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" fillcolor="#069" stroked="f" strokeweight=".5pt">
                <v:textbox>
                  <w:txbxContent>
                    <w:p w14:paraId="76A17CD6" w14:textId="74374ED5" w:rsidR="007A7A0C" w:rsidRPr="004616F3" w:rsidRDefault="007A7A0C" w:rsidP="0058561C">
                      <w:pPr>
                        <w:pStyle w:val="NoSpacing"/>
                        <w:rPr>
                          <w:rFonts w:ascii="Arial" w:hAnsi="Arial" w:cs="Arial"/>
                          <w:color w:val="FFFFFF" w:themeColor="background1"/>
                          <w:sz w:val="32"/>
                        </w:rPr>
                      </w:pPr>
                      <w:r>
                        <w:rPr>
                          <w:rFonts w:ascii="Arial" w:hAnsi="Arial" w:cs="Arial"/>
                          <w:color w:val="FFFFFF" w:themeColor="background1"/>
                          <w:sz w:val="32"/>
                        </w:rPr>
                        <w:t>Part E: Defined terms</w:t>
                      </w:r>
                    </w:p>
                    <w:p w14:paraId="2C3F242A" w14:textId="77777777" w:rsidR="007A7A0C" w:rsidRPr="004616F3" w:rsidRDefault="007A7A0C" w:rsidP="0058561C">
                      <w:pPr>
                        <w:pStyle w:val="NoSpacing"/>
                        <w:rPr>
                          <w:rFonts w:ascii="Arial" w:hAnsi="Arial" w:cs="Arial"/>
                          <w:color w:val="FFFFFF" w:themeColor="background1"/>
                          <w:sz w:val="32"/>
                        </w:rPr>
                      </w:pPr>
                    </w:p>
                  </w:txbxContent>
                </v:textbox>
              </v:shape>
            </w:pict>
          </mc:Fallback>
        </mc:AlternateContent>
      </w:r>
    </w:p>
    <w:p w14:paraId="28F3694F" w14:textId="2A5A4A5B" w:rsidR="0058561C" w:rsidRDefault="0058561C" w:rsidP="0058561C">
      <w:pPr>
        <w:pStyle w:val="NoSpacing"/>
      </w:pPr>
    </w:p>
    <w:p w14:paraId="64E33CE1" w14:textId="16576DC0" w:rsidR="0058561C" w:rsidRDefault="0058561C" w:rsidP="0058561C">
      <w:pPr>
        <w:pStyle w:val="NoSpacing"/>
        <w:rPr>
          <w:rFonts w:ascii="Arial" w:hAnsi="Arial" w:cs="Arial"/>
        </w:rPr>
      </w:pPr>
      <w:r w:rsidRPr="0058561C">
        <w:rPr>
          <w:rFonts w:ascii="Arial" w:hAnsi="Arial" w:cs="Arial"/>
        </w:rPr>
        <w:t>This is a list of the definitions that have been included in our Wholesale Tariff Document. It is intended that the terms used in this document are entirely consistent with the same terms used in the Wholesale Contract/Wholesale-Retail Code. In the event of any inconsistency, the definition in the Wholesale Contract/Wholesale-Retail Code shall prevail.</w:t>
      </w:r>
    </w:p>
    <w:p w14:paraId="331A16A6" w14:textId="0AE3A51E" w:rsidR="00B32A7C" w:rsidRDefault="00B32A7C" w:rsidP="0058561C">
      <w:pPr>
        <w:pStyle w:val="NoSpacing"/>
        <w:rPr>
          <w:rFonts w:ascii="Arial" w:hAnsi="Arial" w:cs="Arial"/>
        </w:rPr>
      </w:pPr>
    </w:p>
    <w:tbl>
      <w:tblPr>
        <w:tblStyle w:val="TableGrid"/>
        <w:tblW w:w="10916" w:type="dxa"/>
        <w:tblInd w:w="-998" w:type="dxa"/>
        <w:tblLook w:val="04A0" w:firstRow="1" w:lastRow="0" w:firstColumn="1" w:lastColumn="0" w:noHBand="0" w:noVBand="1"/>
      </w:tblPr>
      <w:tblGrid>
        <w:gridCol w:w="4112"/>
        <w:gridCol w:w="6804"/>
      </w:tblGrid>
      <w:tr w:rsidR="00B32A7C" w14:paraId="76720B65" w14:textId="77777777" w:rsidTr="00B32A7C">
        <w:trPr>
          <w:trHeight w:val="567"/>
        </w:trPr>
        <w:tc>
          <w:tcPr>
            <w:tcW w:w="4112" w:type="dxa"/>
            <w:shd w:val="clear" w:color="auto" w:fill="006699"/>
            <w:vAlign w:val="center"/>
          </w:tcPr>
          <w:p w14:paraId="1E381834" w14:textId="2144E8BE" w:rsidR="00B32A7C" w:rsidRPr="00BF57F7" w:rsidRDefault="00B32A7C" w:rsidP="00B32A7C">
            <w:pPr>
              <w:tabs>
                <w:tab w:val="left" w:pos="939"/>
              </w:tabs>
              <w:rPr>
                <w:rFonts w:ascii="Arial" w:hAnsi="Arial" w:cs="Arial"/>
                <w:b/>
                <w:color w:val="FFFFFF" w:themeColor="background1"/>
              </w:rPr>
            </w:pPr>
            <w:r>
              <w:rPr>
                <w:rFonts w:ascii="Arial" w:hAnsi="Arial" w:cs="Arial"/>
                <w:b/>
                <w:color w:val="FFFFFF" w:themeColor="background1"/>
              </w:rPr>
              <w:t>Definition</w:t>
            </w:r>
          </w:p>
        </w:tc>
        <w:tc>
          <w:tcPr>
            <w:tcW w:w="6804" w:type="dxa"/>
            <w:shd w:val="clear" w:color="auto" w:fill="006699"/>
            <w:vAlign w:val="center"/>
          </w:tcPr>
          <w:p w14:paraId="0859C1F2" w14:textId="2627FD32" w:rsidR="00B32A7C" w:rsidRDefault="00B32A7C" w:rsidP="00B32A7C">
            <w:pPr>
              <w:tabs>
                <w:tab w:val="left" w:pos="939"/>
              </w:tabs>
              <w:rPr>
                <w:rFonts w:ascii="Arial" w:hAnsi="Arial" w:cs="Arial"/>
                <w:b/>
                <w:color w:val="FFFFFF" w:themeColor="background1"/>
              </w:rPr>
            </w:pPr>
            <w:r>
              <w:rPr>
                <w:rFonts w:ascii="Arial" w:hAnsi="Arial" w:cs="Arial"/>
                <w:b/>
                <w:color w:val="FFFFFF" w:themeColor="background1"/>
              </w:rPr>
              <w:t>Description</w:t>
            </w:r>
          </w:p>
        </w:tc>
      </w:tr>
      <w:tr w:rsidR="00B32A7C" w14:paraId="22938938" w14:textId="77777777" w:rsidTr="00B32A7C">
        <w:trPr>
          <w:trHeight w:val="567"/>
        </w:trPr>
        <w:tc>
          <w:tcPr>
            <w:tcW w:w="4112" w:type="dxa"/>
            <w:vAlign w:val="center"/>
          </w:tcPr>
          <w:p w14:paraId="102C2186" w14:textId="19A62C6A" w:rsidR="00B32A7C" w:rsidRPr="00B32A7C" w:rsidRDefault="00B32A7C" w:rsidP="00B32A7C">
            <w:pPr>
              <w:tabs>
                <w:tab w:val="left" w:pos="939"/>
              </w:tabs>
              <w:rPr>
                <w:rFonts w:ascii="Arial" w:hAnsi="Arial" w:cs="Arial"/>
              </w:rPr>
            </w:pPr>
            <w:r w:rsidRPr="00B32A7C">
              <w:rPr>
                <w:rFonts w:ascii="Arial" w:hAnsi="Arial" w:cs="Arial"/>
              </w:rPr>
              <w:t>Abatement</w:t>
            </w:r>
          </w:p>
        </w:tc>
        <w:tc>
          <w:tcPr>
            <w:tcW w:w="6804" w:type="dxa"/>
            <w:vAlign w:val="center"/>
          </w:tcPr>
          <w:p w14:paraId="19530FD8" w14:textId="296501FA" w:rsidR="00B32A7C" w:rsidRPr="00B32A7C" w:rsidRDefault="00B32A7C" w:rsidP="00B32A7C">
            <w:pPr>
              <w:tabs>
                <w:tab w:val="left" w:pos="939"/>
              </w:tabs>
              <w:rPr>
                <w:rFonts w:ascii="Arial" w:hAnsi="Arial" w:cs="Arial"/>
              </w:rPr>
            </w:pPr>
            <w:r w:rsidRPr="00B32A7C">
              <w:rPr>
                <w:rFonts w:ascii="Arial" w:hAnsi="Arial" w:cs="Arial"/>
              </w:rPr>
              <w:t>A reduction to a customer’s charges, when for example, there is no rainwater feeding into the sewer system.</w:t>
            </w:r>
          </w:p>
        </w:tc>
      </w:tr>
      <w:tr w:rsidR="00B32A7C" w14:paraId="51FA134E" w14:textId="77777777" w:rsidTr="00B32A7C">
        <w:trPr>
          <w:trHeight w:val="567"/>
        </w:trPr>
        <w:tc>
          <w:tcPr>
            <w:tcW w:w="4112" w:type="dxa"/>
            <w:vAlign w:val="center"/>
          </w:tcPr>
          <w:p w14:paraId="4DAA0121" w14:textId="73EF35A8" w:rsidR="00B32A7C" w:rsidRPr="00B32A7C" w:rsidRDefault="00B32A7C" w:rsidP="00B32A7C">
            <w:pPr>
              <w:tabs>
                <w:tab w:val="left" w:pos="939"/>
              </w:tabs>
              <w:rPr>
                <w:rFonts w:ascii="Arial" w:hAnsi="Arial" w:cs="Arial"/>
              </w:rPr>
            </w:pPr>
            <w:r w:rsidRPr="00B32A7C">
              <w:rPr>
                <w:rFonts w:ascii="Arial" w:hAnsi="Arial" w:cs="Arial"/>
              </w:rPr>
              <w:t>Abortive charge</w:t>
            </w:r>
          </w:p>
        </w:tc>
        <w:tc>
          <w:tcPr>
            <w:tcW w:w="6804" w:type="dxa"/>
            <w:vAlign w:val="center"/>
          </w:tcPr>
          <w:p w14:paraId="0DFA2F6D" w14:textId="7E9E4B52" w:rsidR="00B32A7C" w:rsidRPr="00B32A7C" w:rsidRDefault="00B32A7C" w:rsidP="00B32A7C">
            <w:pPr>
              <w:tabs>
                <w:tab w:val="left" w:pos="939"/>
              </w:tabs>
              <w:rPr>
                <w:rFonts w:ascii="Arial" w:hAnsi="Arial" w:cs="Arial"/>
              </w:rPr>
            </w:pPr>
            <w:r w:rsidRPr="00B32A7C">
              <w:rPr>
                <w:rFonts w:ascii="Arial" w:hAnsi="Arial" w:cs="Arial"/>
              </w:rPr>
              <w:t xml:space="preserve">A charge applied to </w:t>
            </w:r>
            <w:proofErr w:type="gramStart"/>
            <w:r w:rsidRPr="00B32A7C">
              <w:rPr>
                <w:rFonts w:ascii="Arial" w:hAnsi="Arial" w:cs="Arial"/>
              </w:rPr>
              <w:t>a number of</w:t>
            </w:r>
            <w:proofErr w:type="gramEnd"/>
            <w:r w:rsidRPr="00B32A7C">
              <w:rPr>
                <w:rFonts w:ascii="Arial" w:hAnsi="Arial" w:cs="Arial"/>
              </w:rPr>
              <w:t xml:space="preserve"> circumstances where we have unnecessarily incurred costs in relation to delivery of wholesale services.</w:t>
            </w:r>
          </w:p>
        </w:tc>
      </w:tr>
      <w:tr w:rsidR="00B32A7C" w14:paraId="640EB44F" w14:textId="77777777" w:rsidTr="00B32A7C">
        <w:trPr>
          <w:trHeight w:val="567"/>
        </w:trPr>
        <w:tc>
          <w:tcPr>
            <w:tcW w:w="4112" w:type="dxa"/>
            <w:vAlign w:val="center"/>
          </w:tcPr>
          <w:p w14:paraId="1BE36077" w14:textId="1D5D4FE0" w:rsidR="00B32A7C" w:rsidRPr="00B32A7C" w:rsidRDefault="00B32A7C" w:rsidP="00B32A7C">
            <w:pPr>
              <w:tabs>
                <w:tab w:val="left" w:pos="939"/>
              </w:tabs>
              <w:rPr>
                <w:rFonts w:ascii="Arial" w:hAnsi="Arial" w:cs="Arial"/>
              </w:rPr>
            </w:pPr>
            <w:r>
              <w:rPr>
                <w:rFonts w:ascii="Arial" w:hAnsi="Arial" w:cs="Arial"/>
              </w:rPr>
              <w:t>T</w:t>
            </w:r>
            <w:r w:rsidRPr="00B32A7C">
              <w:rPr>
                <w:rFonts w:ascii="Arial" w:hAnsi="Arial" w:cs="Arial"/>
              </w:rPr>
              <w:t>he Act</w:t>
            </w:r>
          </w:p>
        </w:tc>
        <w:tc>
          <w:tcPr>
            <w:tcW w:w="6804" w:type="dxa"/>
            <w:vAlign w:val="center"/>
          </w:tcPr>
          <w:p w14:paraId="7CF87E35" w14:textId="624CFA7F" w:rsidR="00B32A7C" w:rsidRPr="00B32A7C" w:rsidRDefault="00B32A7C" w:rsidP="00B32A7C">
            <w:pPr>
              <w:tabs>
                <w:tab w:val="left" w:pos="939"/>
              </w:tabs>
              <w:rPr>
                <w:rFonts w:ascii="Arial" w:hAnsi="Arial" w:cs="Arial"/>
              </w:rPr>
            </w:pPr>
            <w:r w:rsidRPr="00B32A7C">
              <w:rPr>
                <w:rFonts w:ascii="Arial" w:hAnsi="Arial" w:cs="Arial"/>
              </w:rPr>
              <w:t>The Water Industry Act 1991 including any statutory amendments whether made before or after the date of this document.</w:t>
            </w:r>
          </w:p>
        </w:tc>
      </w:tr>
      <w:tr w:rsidR="00B32A7C" w14:paraId="5A15959E" w14:textId="77777777" w:rsidTr="00B32A7C">
        <w:trPr>
          <w:trHeight w:val="567"/>
        </w:trPr>
        <w:tc>
          <w:tcPr>
            <w:tcW w:w="4112" w:type="dxa"/>
            <w:vAlign w:val="center"/>
          </w:tcPr>
          <w:p w14:paraId="5EFA7A42" w14:textId="360D38A2" w:rsidR="00B32A7C" w:rsidRPr="00B32A7C" w:rsidRDefault="00B32A7C" w:rsidP="00B32A7C">
            <w:pPr>
              <w:tabs>
                <w:tab w:val="left" w:pos="939"/>
              </w:tabs>
              <w:rPr>
                <w:rFonts w:ascii="Arial" w:hAnsi="Arial" w:cs="Arial"/>
              </w:rPr>
            </w:pPr>
            <w:r w:rsidRPr="00B32A7C">
              <w:rPr>
                <w:rFonts w:ascii="Arial" w:hAnsi="Arial" w:cs="Arial"/>
              </w:rPr>
              <w:t>Agreement</w:t>
            </w:r>
          </w:p>
        </w:tc>
        <w:tc>
          <w:tcPr>
            <w:tcW w:w="6804" w:type="dxa"/>
            <w:vAlign w:val="center"/>
          </w:tcPr>
          <w:p w14:paraId="4A3122EC" w14:textId="6C131ACB" w:rsidR="00B32A7C" w:rsidRPr="00B32A7C" w:rsidRDefault="00B32A7C" w:rsidP="00B32A7C">
            <w:pPr>
              <w:tabs>
                <w:tab w:val="left" w:pos="939"/>
              </w:tabs>
              <w:rPr>
                <w:rFonts w:ascii="Arial" w:hAnsi="Arial" w:cs="Arial"/>
              </w:rPr>
            </w:pPr>
            <w:r w:rsidRPr="00B32A7C">
              <w:rPr>
                <w:rFonts w:ascii="Arial" w:hAnsi="Arial" w:cs="Arial"/>
              </w:rPr>
              <w:t>An agreement with respect to the disposal of trade effluent made under the provisions of Section 129 of the Act.</w:t>
            </w:r>
          </w:p>
        </w:tc>
      </w:tr>
      <w:tr w:rsidR="00B32A7C" w14:paraId="0495D66D" w14:textId="77777777" w:rsidTr="00B32A7C">
        <w:trPr>
          <w:trHeight w:val="567"/>
        </w:trPr>
        <w:tc>
          <w:tcPr>
            <w:tcW w:w="4112" w:type="dxa"/>
            <w:vAlign w:val="center"/>
          </w:tcPr>
          <w:p w14:paraId="0919BF18" w14:textId="3B474F10" w:rsidR="00B32A7C" w:rsidRPr="00E86A1D" w:rsidRDefault="00E86A1D" w:rsidP="00B32A7C">
            <w:pPr>
              <w:tabs>
                <w:tab w:val="left" w:pos="939"/>
              </w:tabs>
              <w:rPr>
                <w:rFonts w:ascii="Arial" w:hAnsi="Arial" w:cs="Arial"/>
              </w:rPr>
            </w:pPr>
            <w:r w:rsidRPr="00E86A1D">
              <w:rPr>
                <w:rFonts w:ascii="Arial" w:hAnsi="Arial" w:cs="Arial"/>
              </w:rPr>
              <w:t>Allowance</w:t>
            </w:r>
          </w:p>
        </w:tc>
        <w:tc>
          <w:tcPr>
            <w:tcW w:w="6804" w:type="dxa"/>
            <w:vAlign w:val="center"/>
          </w:tcPr>
          <w:p w14:paraId="3BC4B663" w14:textId="7659D4D2" w:rsidR="00B32A7C" w:rsidRPr="00203798" w:rsidRDefault="00203798" w:rsidP="00B32A7C">
            <w:pPr>
              <w:tabs>
                <w:tab w:val="left" w:pos="939"/>
              </w:tabs>
              <w:rPr>
                <w:rFonts w:ascii="Arial" w:hAnsi="Arial" w:cs="Arial"/>
              </w:rPr>
            </w:pPr>
            <w:r w:rsidRPr="00203798">
              <w:rPr>
                <w:rFonts w:ascii="Arial" w:hAnsi="Arial" w:cs="Arial"/>
              </w:rPr>
              <w:t>A volumetric adjustment applied to the measured consumption of your customer to reduce the chargeable volume for water and/or wastewater services due to firefighting, leakage, non-return to sewer or not having surface water feeding to sewer.</w:t>
            </w:r>
          </w:p>
        </w:tc>
      </w:tr>
      <w:tr w:rsidR="00B32A7C" w14:paraId="7274CF8E" w14:textId="77777777" w:rsidTr="00B32A7C">
        <w:trPr>
          <w:trHeight w:val="567"/>
        </w:trPr>
        <w:tc>
          <w:tcPr>
            <w:tcW w:w="4112" w:type="dxa"/>
            <w:vAlign w:val="center"/>
          </w:tcPr>
          <w:p w14:paraId="0F700C51" w14:textId="73E203BF" w:rsidR="00B32A7C" w:rsidRPr="00203798" w:rsidRDefault="00203798" w:rsidP="00B32A7C">
            <w:pPr>
              <w:tabs>
                <w:tab w:val="left" w:pos="939"/>
              </w:tabs>
              <w:rPr>
                <w:rFonts w:ascii="Arial" w:hAnsi="Arial" w:cs="Arial"/>
              </w:rPr>
            </w:pPr>
            <w:r w:rsidRPr="00203798">
              <w:rPr>
                <w:rFonts w:ascii="Arial" w:hAnsi="Arial" w:cs="Arial"/>
              </w:rPr>
              <w:t>Business assessed charges</w:t>
            </w:r>
          </w:p>
        </w:tc>
        <w:tc>
          <w:tcPr>
            <w:tcW w:w="6804" w:type="dxa"/>
            <w:vAlign w:val="center"/>
          </w:tcPr>
          <w:p w14:paraId="58954B41" w14:textId="18AD9194" w:rsidR="00B32A7C" w:rsidRPr="00203798" w:rsidRDefault="00203798" w:rsidP="00C5333A">
            <w:pPr>
              <w:tabs>
                <w:tab w:val="left" w:pos="939"/>
              </w:tabs>
              <w:rPr>
                <w:rFonts w:ascii="Arial" w:hAnsi="Arial" w:cs="Arial"/>
              </w:rPr>
            </w:pPr>
            <w:r w:rsidRPr="00203798">
              <w:rPr>
                <w:rFonts w:ascii="Arial" w:hAnsi="Arial" w:cs="Arial"/>
              </w:rPr>
              <w:t xml:space="preserve">The business assessed charges fixed by </w:t>
            </w:r>
            <w:r w:rsidR="004F05B4">
              <w:rPr>
                <w:rFonts w:ascii="Arial" w:hAnsi="Arial" w:cs="Arial"/>
              </w:rPr>
              <w:t>County</w:t>
            </w:r>
            <w:r w:rsidRPr="00203798">
              <w:rPr>
                <w:rFonts w:ascii="Arial" w:hAnsi="Arial" w:cs="Arial"/>
              </w:rPr>
              <w:t xml:space="preserve"> Water with reference to charging bands for the financial year </w:t>
            </w:r>
            <w:r w:rsidR="00180866">
              <w:rPr>
                <w:rFonts w:ascii="Arial" w:hAnsi="Arial" w:cs="Arial"/>
              </w:rPr>
              <w:t>202</w:t>
            </w:r>
            <w:r w:rsidR="00B51E1A">
              <w:rPr>
                <w:rFonts w:ascii="Arial" w:hAnsi="Arial" w:cs="Arial"/>
              </w:rPr>
              <w:t>3</w:t>
            </w:r>
            <w:r w:rsidRPr="00203798">
              <w:rPr>
                <w:rFonts w:ascii="Arial" w:hAnsi="Arial" w:cs="Arial"/>
              </w:rPr>
              <w:t xml:space="preserve"> </w:t>
            </w:r>
            <w:r w:rsidR="00C5333A">
              <w:rPr>
                <w:rFonts w:ascii="Arial" w:hAnsi="Arial" w:cs="Arial"/>
              </w:rPr>
              <w:t>–</w:t>
            </w:r>
            <w:r w:rsidRPr="00203798">
              <w:rPr>
                <w:rFonts w:ascii="Arial" w:hAnsi="Arial" w:cs="Arial"/>
              </w:rPr>
              <w:t xml:space="preserve"> </w:t>
            </w:r>
            <w:proofErr w:type="gramStart"/>
            <w:r w:rsidR="00180866">
              <w:rPr>
                <w:rFonts w:ascii="Arial" w:hAnsi="Arial" w:cs="Arial"/>
              </w:rPr>
              <w:t>202</w:t>
            </w:r>
            <w:r w:rsidR="00B51E1A">
              <w:rPr>
                <w:rFonts w:ascii="Arial" w:hAnsi="Arial" w:cs="Arial"/>
              </w:rPr>
              <w:t>4</w:t>
            </w:r>
            <w:r w:rsidR="00180866">
              <w:rPr>
                <w:rFonts w:ascii="Arial" w:hAnsi="Arial" w:cs="Arial"/>
              </w:rPr>
              <w:t xml:space="preserve"> </w:t>
            </w:r>
            <w:r w:rsidRPr="00203798">
              <w:rPr>
                <w:rFonts w:ascii="Arial" w:hAnsi="Arial" w:cs="Arial"/>
              </w:rPr>
              <w:t xml:space="preserve"> and</w:t>
            </w:r>
            <w:proofErr w:type="gramEnd"/>
            <w:r w:rsidRPr="00203798">
              <w:rPr>
                <w:rFonts w:ascii="Arial" w:hAnsi="Arial" w:cs="Arial"/>
              </w:rPr>
              <w:t xml:space="preserve"> which is set out in </w:t>
            </w:r>
            <w:r w:rsidRPr="00D447C5">
              <w:rPr>
                <w:rFonts w:ascii="Arial" w:hAnsi="Arial" w:cs="Arial"/>
              </w:rPr>
              <w:t>Part B: Primary tariff schedule.</w:t>
            </w:r>
          </w:p>
        </w:tc>
      </w:tr>
      <w:tr w:rsidR="00B32A7C" w14:paraId="4D926E6F" w14:textId="77777777" w:rsidTr="00B32A7C">
        <w:trPr>
          <w:trHeight w:val="567"/>
        </w:trPr>
        <w:tc>
          <w:tcPr>
            <w:tcW w:w="4112" w:type="dxa"/>
            <w:vAlign w:val="center"/>
          </w:tcPr>
          <w:p w14:paraId="738ADA19" w14:textId="17B79EFD" w:rsidR="00B32A7C" w:rsidRPr="00203798" w:rsidRDefault="00203798" w:rsidP="00B32A7C">
            <w:pPr>
              <w:tabs>
                <w:tab w:val="left" w:pos="939"/>
              </w:tabs>
              <w:rPr>
                <w:rFonts w:ascii="Arial" w:hAnsi="Arial" w:cs="Arial"/>
              </w:rPr>
            </w:pPr>
            <w:r w:rsidRPr="00203798">
              <w:rPr>
                <w:rFonts w:ascii="Arial" w:hAnsi="Arial" w:cs="Arial"/>
              </w:rPr>
              <w:t>Charging band</w:t>
            </w:r>
          </w:p>
        </w:tc>
        <w:tc>
          <w:tcPr>
            <w:tcW w:w="6804" w:type="dxa"/>
            <w:vAlign w:val="center"/>
          </w:tcPr>
          <w:p w14:paraId="30DDF1CF" w14:textId="17729CF6" w:rsidR="00B32A7C" w:rsidRPr="00203798" w:rsidRDefault="00203798" w:rsidP="00B32A7C">
            <w:pPr>
              <w:tabs>
                <w:tab w:val="left" w:pos="939"/>
              </w:tabs>
              <w:rPr>
                <w:rFonts w:ascii="Arial" w:hAnsi="Arial" w:cs="Arial"/>
              </w:rPr>
            </w:pPr>
            <w:r w:rsidRPr="00203798">
              <w:rPr>
                <w:rFonts w:ascii="Arial" w:hAnsi="Arial" w:cs="Arial"/>
              </w:rPr>
              <w:t>A unit cost for trade effluent derived from sample analysis results where the values for settled chemical oxygen demand (Ot) and settleable solids (St) fall within predefined range values.</w:t>
            </w:r>
          </w:p>
        </w:tc>
      </w:tr>
      <w:tr w:rsidR="00B32A7C" w14:paraId="2C392E49" w14:textId="77777777" w:rsidTr="00B32A7C">
        <w:trPr>
          <w:trHeight w:val="567"/>
        </w:trPr>
        <w:tc>
          <w:tcPr>
            <w:tcW w:w="4112" w:type="dxa"/>
            <w:vAlign w:val="center"/>
          </w:tcPr>
          <w:p w14:paraId="05A3892C" w14:textId="5C4271AF" w:rsidR="00B32A7C" w:rsidRPr="003A38E1" w:rsidRDefault="00203798" w:rsidP="00B32A7C">
            <w:pPr>
              <w:tabs>
                <w:tab w:val="left" w:pos="939"/>
              </w:tabs>
              <w:rPr>
                <w:rFonts w:ascii="Arial" w:hAnsi="Arial" w:cs="Arial"/>
              </w:rPr>
            </w:pPr>
            <w:r w:rsidRPr="003A38E1">
              <w:rPr>
                <w:rFonts w:ascii="Arial" w:hAnsi="Arial" w:cs="Arial"/>
              </w:rPr>
              <w:t>Community building</w:t>
            </w:r>
          </w:p>
        </w:tc>
        <w:tc>
          <w:tcPr>
            <w:tcW w:w="6804" w:type="dxa"/>
            <w:vAlign w:val="center"/>
          </w:tcPr>
          <w:p w14:paraId="6DD1FF39" w14:textId="027044BE" w:rsidR="00B32A7C" w:rsidRPr="003A38E1" w:rsidRDefault="00203798" w:rsidP="00B32A7C">
            <w:pPr>
              <w:tabs>
                <w:tab w:val="left" w:pos="939"/>
              </w:tabs>
              <w:rPr>
                <w:rFonts w:ascii="Arial" w:hAnsi="Arial" w:cs="Arial"/>
              </w:rPr>
            </w:pPr>
            <w:r w:rsidRPr="003A38E1">
              <w:rPr>
                <w:rFonts w:ascii="Arial" w:hAnsi="Arial" w:cs="Arial"/>
              </w:rPr>
              <w:t xml:space="preserve">A place of worship, village hall, </w:t>
            </w:r>
            <w:proofErr w:type="gramStart"/>
            <w:r w:rsidRPr="003A38E1">
              <w:rPr>
                <w:rFonts w:ascii="Arial" w:hAnsi="Arial" w:cs="Arial"/>
              </w:rPr>
              <w:t>scout</w:t>
            </w:r>
            <w:proofErr w:type="gramEnd"/>
            <w:r w:rsidRPr="003A38E1">
              <w:rPr>
                <w:rFonts w:ascii="Arial" w:hAnsi="Arial" w:cs="Arial"/>
              </w:rPr>
              <w:t xml:space="preserve"> or guide hut.</w:t>
            </w:r>
          </w:p>
        </w:tc>
      </w:tr>
      <w:tr w:rsidR="00B32A7C" w14:paraId="32B1BA2A" w14:textId="77777777" w:rsidTr="00B32A7C">
        <w:trPr>
          <w:trHeight w:val="567"/>
        </w:trPr>
        <w:tc>
          <w:tcPr>
            <w:tcW w:w="4112" w:type="dxa"/>
            <w:vAlign w:val="center"/>
          </w:tcPr>
          <w:p w14:paraId="28B174AC" w14:textId="07D6DCE7" w:rsidR="00B32A7C" w:rsidRPr="00203798" w:rsidRDefault="00203798" w:rsidP="00B32A7C">
            <w:pPr>
              <w:tabs>
                <w:tab w:val="left" w:pos="939"/>
              </w:tabs>
              <w:rPr>
                <w:rFonts w:ascii="Arial" w:hAnsi="Arial" w:cs="Arial"/>
              </w:rPr>
            </w:pPr>
            <w:r w:rsidRPr="00203798">
              <w:rPr>
                <w:rFonts w:ascii="Arial" w:hAnsi="Arial" w:cs="Arial"/>
              </w:rPr>
              <w:t>Consent</w:t>
            </w:r>
          </w:p>
        </w:tc>
        <w:tc>
          <w:tcPr>
            <w:tcW w:w="6804" w:type="dxa"/>
            <w:vAlign w:val="center"/>
          </w:tcPr>
          <w:p w14:paraId="3AD5AF45" w14:textId="2260CF05" w:rsidR="00B32A7C" w:rsidRPr="00203798" w:rsidRDefault="00203798" w:rsidP="00B32A7C">
            <w:pPr>
              <w:tabs>
                <w:tab w:val="left" w:pos="939"/>
              </w:tabs>
              <w:rPr>
                <w:rFonts w:ascii="Arial" w:hAnsi="Arial" w:cs="Arial"/>
              </w:rPr>
            </w:pPr>
            <w:r w:rsidRPr="00203798">
              <w:rPr>
                <w:rFonts w:ascii="Arial" w:hAnsi="Arial" w:cs="Arial"/>
              </w:rPr>
              <w:t xml:space="preserve">A consent given pursuant to a trade effluent notice served on </w:t>
            </w:r>
            <w:r>
              <w:rPr>
                <w:rFonts w:ascii="Arial" w:hAnsi="Arial" w:cs="Arial"/>
              </w:rPr>
              <w:t>County</w:t>
            </w:r>
            <w:r w:rsidRPr="00203798">
              <w:rPr>
                <w:rFonts w:ascii="Arial" w:hAnsi="Arial" w:cs="Arial"/>
              </w:rPr>
              <w:t xml:space="preserve"> Water (or its predecessors) under the Act or under any predecessor legislation.</w:t>
            </w:r>
          </w:p>
        </w:tc>
      </w:tr>
      <w:tr w:rsidR="00B32A7C" w14:paraId="219E079D" w14:textId="77777777" w:rsidTr="00B32A7C">
        <w:trPr>
          <w:trHeight w:val="567"/>
        </w:trPr>
        <w:tc>
          <w:tcPr>
            <w:tcW w:w="4112" w:type="dxa"/>
            <w:vAlign w:val="center"/>
          </w:tcPr>
          <w:p w14:paraId="355A15D3" w14:textId="49E70233" w:rsidR="00B32A7C" w:rsidRPr="00203798" w:rsidRDefault="00203798" w:rsidP="00B32A7C">
            <w:pPr>
              <w:tabs>
                <w:tab w:val="left" w:pos="939"/>
              </w:tabs>
              <w:rPr>
                <w:rFonts w:ascii="Arial" w:hAnsi="Arial" w:cs="Arial"/>
              </w:rPr>
            </w:pPr>
            <w:r w:rsidRPr="00203798">
              <w:rPr>
                <w:rFonts w:ascii="Arial" w:hAnsi="Arial" w:cs="Arial"/>
              </w:rPr>
              <w:t>Data owner</w:t>
            </w:r>
          </w:p>
        </w:tc>
        <w:tc>
          <w:tcPr>
            <w:tcW w:w="6804" w:type="dxa"/>
            <w:vAlign w:val="center"/>
          </w:tcPr>
          <w:p w14:paraId="5C04076F" w14:textId="09D2E080" w:rsidR="00B32A7C" w:rsidRPr="00203798" w:rsidRDefault="00203798" w:rsidP="00B32A7C">
            <w:pPr>
              <w:tabs>
                <w:tab w:val="left" w:pos="939"/>
              </w:tabs>
              <w:rPr>
                <w:rFonts w:ascii="Arial" w:hAnsi="Arial" w:cs="Arial"/>
              </w:rPr>
            </w:pPr>
            <w:r w:rsidRPr="00203798">
              <w:rPr>
                <w:rFonts w:ascii="Arial" w:hAnsi="Arial" w:cs="Arial"/>
              </w:rPr>
              <w:t>The Market Operator or relevant Wholesaler or retailer in each case having responsibilities under Section 4.2.4 of the Market Terms and being the party responsible for each Data Item in accordance with CSD 0301 (Data Catalogue) and CSD 0105 (Error Rectification and Retrospective Amendments).</w:t>
            </w:r>
          </w:p>
        </w:tc>
      </w:tr>
      <w:tr w:rsidR="00B32A7C" w14:paraId="4C034EDA" w14:textId="77777777" w:rsidTr="00B32A7C">
        <w:trPr>
          <w:trHeight w:val="567"/>
        </w:trPr>
        <w:tc>
          <w:tcPr>
            <w:tcW w:w="4112" w:type="dxa"/>
            <w:vAlign w:val="center"/>
          </w:tcPr>
          <w:p w14:paraId="717AC763" w14:textId="3CD94C62" w:rsidR="00B32A7C" w:rsidRPr="00721D4B" w:rsidRDefault="00721D4B" w:rsidP="00B32A7C">
            <w:pPr>
              <w:tabs>
                <w:tab w:val="left" w:pos="939"/>
              </w:tabs>
              <w:rPr>
                <w:rFonts w:ascii="Arial" w:hAnsi="Arial" w:cs="Arial"/>
              </w:rPr>
            </w:pPr>
            <w:r w:rsidRPr="00721D4B">
              <w:rPr>
                <w:rFonts w:ascii="Arial" w:hAnsi="Arial" w:cs="Arial"/>
              </w:rPr>
              <w:t>Eligible premises</w:t>
            </w:r>
          </w:p>
        </w:tc>
        <w:tc>
          <w:tcPr>
            <w:tcW w:w="6804" w:type="dxa"/>
            <w:vAlign w:val="center"/>
          </w:tcPr>
          <w:p w14:paraId="05DECF95" w14:textId="66994CB6" w:rsidR="00721D4B" w:rsidRPr="00721D4B" w:rsidRDefault="00721D4B" w:rsidP="00B32A7C">
            <w:pPr>
              <w:tabs>
                <w:tab w:val="left" w:pos="939"/>
              </w:tabs>
              <w:rPr>
                <w:rFonts w:ascii="Arial" w:hAnsi="Arial" w:cs="Arial"/>
              </w:rPr>
            </w:pPr>
            <w:proofErr w:type="spellStart"/>
            <w:r w:rsidRPr="00721D4B">
              <w:rPr>
                <w:rFonts w:ascii="Arial" w:hAnsi="Arial" w:cs="Arial"/>
              </w:rPr>
              <w:t>i</w:t>
            </w:r>
            <w:proofErr w:type="spellEnd"/>
            <w:r w:rsidRPr="00721D4B">
              <w:rPr>
                <w:rFonts w:ascii="Arial" w:hAnsi="Arial" w:cs="Arial"/>
              </w:rPr>
              <w:t xml:space="preserve">) for the purposes of the Wastewater Wholesale Charges Scheme, premises that receive sewerage services from a retailer and are drained by a sewer or drain connecting either directly or through an intermediate sewer or drain, with a public sewer provided by </w:t>
            </w:r>
            <w:r>
              <w:rPr>
                <w:rFonts w:ascii="Arial" w:hAnsi="Arial" w:cs="Arial"/>
              </w:rPr>
              <w:t>County</w:t>
            </w:r>
            <w:r w:rsidRPr="00721D4B">
              <w:rPr>
                <w:rFonts w:ascii="Arial" w:hAnsi="Arial" w:cs="Arial"/>
              </w:rPr>
              <w:t xml:space="preserve"> Water</w:t>
            </w:r>
            <w:r>
              <w:rPr>
                <w:rFonts w:ascii="Arial" w:hAnsi="Arial" w:cs="Arial"/>
              </w:rPr>
              <w:t xml:space="preserve"> Ltd</w:t>
            </w:r>
            <w:r w:rsidRPr="00721D4B">
              <w:rPr>
                <w:rFonts w:ascii="Arial" w:hAnsi="Arial" w:cs="Arial"/>
              </w:rPr>
              <w:t xml:space="preserve">; and, </w:t>
            </w:r>
          </w:p>
          <w:p w14:paraId="0E4018C7" w14:textId="2220CBB1" w:rsidR="00B32A7C" w:rsidRDefault="00721D4B" w:rsidP="00B32A7C">
            <w:pPr>
              <w:tabs>
                <w:tab w:val="left" w:pos="939"/>
              </w:tabs>
              <w:rPr>
                <w:rFonts w:ascii="Arial" w:hAnsi="Arial" w:cs="Arial"/>
              </w:rPr>
            </w:pPr>
            <w:r w:rsidRPr="00721D4B">
              <w:rPr>
                <w:rFonts w:ascii="Arial" w:hAnsi="Arial" w:cs="Arial"/>
              </w:rPr>
              <w:t xml:space="preserve">ii) for the purposes of the Trade Effluent Charges Scheme, trade premises from which a trade effluent is discharged into the public sewers of </w:t>
            </w:r>
            <w:r w:rsidR="00D447C5">
              <w:rPr>
                <w:rFonts w:ascii="Arial" w:hAnsi="Arial" w:cs="Arial"/>
              </w:rPr>
              <w:t>County</w:t>
            </w:r>
            <w:r w:rsidRPr="00721D4B">
              <w:rPr>
                <w:rFonts w:ascii="Arial" w:hAnsi="Arial" w:cs="Arial"/>
              </w:rPr>
              <w:t xml:space="preserve"> Water </w:t>
            </w:r>
            <w:proofErr w:type="gramStart"/>
            <w:r w:rsidRPr="00721D4B">
              <w:rPr>
                <w:rFonts w:ascii="Arial" w:hAnsi="Arial" w:cs="Arial"/>
              </w:rPr>
              <w:t>whether or not</w:t>
            </w:r>
            <w:proofErr w:type="gramEnd"/>
            <w:r w:rsidRPr="00721D4B">
              <w:rPr>
                <w:rFonts w:ascii="Arial" w:hAnsi="Arial" w:cs="Arial"/>
              </w:rPr>
              <w:t xml:space="preserve"> via an intervening pipe or conduit.</w:t>
            </w:r>
          </w:p>
        </w:tc>
      </w:tr>
      <w:tr w:rsidR="00721D4B" w14:paraId="79D01363" w14:textId="77777777" w:rsidTr="00B32A7C">
        <w:trPr>
          <w:trHeight w:val="567"/>
        </w:trPr>
        <w:tc>
          <w:tcPr>
            <w:tcW w:w="4112" w:type="dxa"/>
            <w:vAlign w:val="center"/>
          </w:tcPr>
          <w:p w14:paraId="1167C76B" w14:textId="2E834FE5" w:rsidR="00721D4B" w:rsidRPr="00721D4B" w:rsidRDefault="00721D4B" w:rsidP="00B32A7C">
            <w:pPr>
              <w:tabs>
                <w:tab w:val="left" w:pos="939"/>
              </w:tabs>
              <w:rPr>
                <w:rFonts w:ascii="Arial" w:hAnsi="Arial" w:cs="Arial"/>
                <w:highlight w:val="yellow"/>
              </w:rPr>
            </w:pPr>
            <w:r w:rsidRPr="00721D4B">
              <w:rPr>
                <w:rFonts w:ascii="Arial" w:hAnsi="Arial" w:cs="Arial"/>
              </w:rPr>
              <w:lastRenderedPageBreak/>
              <w:t>Environment Agency</w:t>
            </w:r>
          </w:p>
        </w:tc>
        <w:tc>
          <w:tcPr>
            <w:tcW w:w="6804" w:type="dxa"/>
            <w:vAlign w:val="center"/>
          </w:tcPr>
          <w:p w14:paraId="555A071F" w14:textId="16C5A447" w:rsidR="00721D4B" w:rsidRPr="00721D4B" w:rsidRDefault="00721D4B" w:rsidP="00B32A7C">
            <w:pPr>
              <w:tabs>
                <w:tab w:val="left" w:pos="939"/>
              </w:tabs>
              <w:rPr>
                <w:rFonts w:ascii="Arial" w:hAnsi="Arial" w:cs="Arial"/>
                <w:highlight w:val="yellow"/>
              </w:rPr>
            </w:pPr>
            <w:r w:rsidRPr="00721D4B">
              <w:rPr>
                <w:rFonts w:ascii="Arial" w:hAnsi="Arial" w:cs="Arial"/>
              </w:rPr>
              <w:t>The body established by section 1 of the Environment Act 1995 and, as the context requires, any equivalent body with jurisdiction over areas in Wales such as Natural Resources Wales.</w:t>
            </w:r>
          </w:p>
        </w:tc>
      </w:tr>
      <w:tr w:rsidR="00207DAB" w14:paraId="730B139B" w14:textId="77777777" w:rsidTr="00207DAB">
        <w:trPr>
          <w:trHeight w:val="510"/>
        </w:trPr>
        <w:tc>
          <w:tcPr>
            <w:tcW w:w="4112" w:type="dxa"/>
            <w:shd w:val="clear" w:color="auto" w:fill="006699"/>
            <w:vAlign w:val="center"/>
          </w:tcPr>
          <w:p w14:paraId="09BE0036" w14:textId="44D188B6" w:rsidR="00207DAB" w:rsidRPr="00721D4B" w:rsidRDefault="00207DAB" w:rsidP="00207DAB">
            <w:pPr>
              <w:tabs>
                <w:tab w:val="left" w:pos="939"/>
              </w:tabs>
              <w:rPr>
                <w:rFonts w:ascii="Arial" w:hAnsi="Arial" w:cs="Arial"/>
              </w:rPr>
            </w:pPr>
            <w:r>
              <w:rPr>
                <w:rFonts w:ascii="Arial" w:hAnsi="Arial" w:cs="Arial"/>
                <w:b/>
                <w:color w:val="FFFFFF" w:themeColor="background1"/>
              </w:rPr>
              <w:t>Definition</w:t>
            </w:r>
          </w:p>
        </w:tc>
        <w:tc>
          <w:tcPr>
            <w:tcW w:w="6804" w:type="dxa"/>
            <w:shd w:val="clear" w:color="auto" w:fill="006699"/>
            <w:vAlign w:val="center"/>
          </w:tcPr>
          <w:p w14:paraId="591AC52C" w14:textId="357688EE" w:rsidR="00207DAB" w:rsidRPr="00721D4B" w:rsidRDefault="00207DAB" w:rsidP="00207DAB">
            <w:pPr>
              <w:tabs>
                <w:tab w:val="left" w:pos="939"/>
              </w:tabs>
              <w:rPr>
                <w:rFonts w:ascii="Arial" w:hAnsi="Arial" w:cs="Arial"/>
              </w:rPr>
            </w:pPr>
            <w:r>
              <w:rPr>
                <w:rFonts w:ascii="Arial" w:hAnsi="Arial" w:cs="Arial"/>
                <w:b/>
                <w:color w:val="FFFFFF" w:themeColor="background1"/>
              </w:rPr>
              <w:t>Description</w:t>
            </w:r>
          </w:p>
        </w:tc>
      </w:tr>
      <w:tr w:rsidR="00721D4B" w14:paraId="1258BF09" w14:textId="77777777" w:rsidTr="00721D4B">
        <w:trPr>
          <w:trHeight w:val="842"/>
        </w:trPr>
        <w:tc>
          <w:tcPr>
            <w:tcW w:w="4112" w:type="dxa"/>
            <w:vAlign w:val="center"/>
          </w:tcPr>
          <w:p w14:paraId="18728487" w14:textId="2C4A9917" w:rsidR="00721D4B" w:rsidRPr="00721D4B" w:rsidRDefault="00721D4B" w:rsidP="00B32A7C">
            <w:pPr>
              <w:tabs>
                <w:tab w:val="left" w:pos="939"/>
              </w:tabs>
              <w:rPr>
                <w:rFonts w:ascii="Arial" w:hAnsi="Arial" w:cs="Arial"/>
              </w:rPr>
            </w:pPr>
            <w:r w:rsidRPr="00721D4B">
              <w:rPr>
                <w:rFonts w:ascii="Arial" w:hAnsi="Arial" w:cs="Arial"/>
              </w:rPr>
              <w:t>Guaranteed Standards Scheme Regulations</w:t>
            </w:r>
          </w:p>
        </w:tc>
        <w:tc>
          <w:tcPr>
            <w:tcW w:w="6804" w:type="dxa"/>
            <w:vAlign w:val="center"/>
          </w:tcPr>
          <w:p w14:paraId="7C52DF98" w14:textId="1EA4C17B" w:rsidR="00721D4B" w:rsidRPr="00721D4B" w:rsidRDefault="00721D4B" w:rsidP="00B32A7C">
            <w:pPr>
              <w:tabs>
                <w:tab w:val="left" w:pos="939"/>
              </w:tabs>
              <w:rPr>
                <w:rFonts w:ascii="Arial" w:hAnsi="Arial" w:cs="Arial"/>
              </w:rPr>
            </w:pPr>
            <w:r w:rsidRPr="00721D4B">
              <w:rPr>
                <w:rFonts w:ascii="Arial" w:hAnsi="Arial" w:cs="Arial"/>
              </w:rPr>
              <w:t>Guaranteed minimum standards of service, as laid down in The Water Supply and Sewerage Services (Customer Service Standards) (Amendment) Regulations 2017.</w:t>
            </w:r>
          </w:p>
        </w:tc>
      </w:tr>
      <w:tr w:rsidR="00721D4B" w14:paraId="2308EA1A" w14:textId="77777777" w:rsidTr="00721D4B">
        <w:trPr>
          <w:trHeight w:val="842"/>
        </w:trPr>
        <w:tc>
          <w:tcPr>
            <w:tcW w:w="4112" w:type="dxa"/>
            <w:vAlign w:val="center"/>
          </w:tcPr>
          <w:p w14:paraId="20F90831" w14:textId="35B9235F" w:rsidR="00721D4B" w:rsidRPr="00721D4B" w:rsidRDefault="00721D4B" w:rsidP="00B32A7C">
            <w:pPr>
              <w:tabs>
                <w:tab w:val="left" w:pos="939"/>
              </w:tabs>
              <w:rPr>
                <w:rFonts w:ascii="Arial" w:hAnsi="Arial" w:cs="Arial"/>
              </w:rPr>
            </w:pPr>
            <w:r w:rsidRPr="00721D4B">
              <w:rPr>
                <w:rFonts w:ascii="Arial" w:hAnsi="Arial" w:cs="Arial"/>
              </w:rPr>
              <w:t>Household customer</w:t>
            </w:r>
          </w:p>
        </w:tc>
        <w:tc>
          <w:tcPr>
            <w:tcW w:w="6804" w:type="dxa"/>
            <w:vAlign w:val="center"/>
          </w:tcPr>
          <w:p w14:paraId="0CBBFDEB" w14:textId="45633641" w:rsidR="00721D4B" w:rsidRPr="00721D4B" w:rsidRDefault="00721D4B" w:rsidP="00B32A7C">
            <w:pPr>
              <w:tabs>
                <w:tab w:val="left" w:pos="939"/>
              </w:tabs>
              <w:rPr>
                <w:rFonts w:ascii="Arial" w:hAnsi="Arial" w:cs="Arial"/>
              </w:rPr>
            </w:pPr>
            <w:r w:rsidRPr="00721D4B">
              <w:rPr>
                <w:rFonts w:ascii="Arial" w:hAnsi="Arial" w:cs="Arial"/>
              </w:rPr>
              <w:t>A customer that is not eligible to be provided with sewerage services by a sewerage licensee since the new retail market opened in April 2017.</w:t>
            </w:r>
          </w:p>
        </w:tc>
      </w:tr>
      <w:tr w:rsidR="00F4571D" w14:paraId="56595473" w14:textId="77777777" w:rsidTr="00721D4B">
        <w:trPr>
          <w:trHeight w:val="842"/>
        </w:trPr>
        <w:tc>
          <w:tcPr>
            <w:tcW w:w="4112" w:type="dxa"/>
            <w:vAlign w:val="center"/>
          </w:tcPr>
          <w:p w14:paraId="7F2B178D" w14:textId="31845E06" w:rsidR="00F4571D" w:rsidRPr="00207DAB" w:rsidRDefault="00F4571D" w:rsidP="00B32A7C">
            <w:pPr>
              <w:tabs>
                <w:tab w:val="left" w:pos="939"/>
              </w:tabs>
              <w:rPr>
                <w:rFonts w:ascii="Arial" w:hAnsi="Arial" w:cs="Arial"/>
              </w:rPr>
            </w:pPr>
            <w:r w:rsidRPr="00207DAB">
              <w:rPr>
                <w:rFonts w:ascii="Arial" w:hAnsi="Arial" w:cs="Arial"/>
              </w:rPr>
              <w:t>Impractical (when related to installing a meter)</w:t>
            </w:r>
            <w:r w:rsidRPr="00207DAB">
              <w:rPr>
                <w:rFonts w:ascii="Arial" w:hAnsi="Arial" w:cs="Arial"/>
                <w:b/>
                <w:color w:val="FF0000"/>
              </w:rPr>
              <w:t xml:space="preserve"> </w:t>
            </w:r>
          </w:p>
        </w:tc>
        <w:tc>
          <w:tcPr>
            <w:tcW w:w="6804" w:type="dxa"/>
            <w:vAlign w:val="center"/>
          </w:tcPr>
          <w:p w14:paraId="3333693F" w14:textId="64375355" w:rsidR="00F4571D" w:rsidRPr="00207DAB" w:rsidRDefault="00F4571D" w:rsidP="00B32A7C">
            <w:pPr>
              <w:tabs>
                <w:tab w:val="left" w:pos="939"/>
              </w:tabs>
              <w:rPr>
                <w:rFonts w:ascii="Arial" w:hAnsi="Arial" w:cs="Arial"/>
              </w:rPr>
            </w:pPr>
            <w:r w:rsidRPr="00207DAB">
              <w:rPr>
                <w:rFonts w:ascii="Arial" w:hAnsi="Arial" w:cs="Arial"/>
              </w:rPr>
              <w:t xml:space="preserve">All new and existing non-household properties shall be metered where technically feasible. Due to cost and practicality </w:t>
            </w:r>
            <w:proofErr w:type="gramStart"/>
            <w:r w:rsidRPr="00207DAB">
              <w:rPr>
                <w:rFonts w:ascii="Arial" w:hAnsi="Arial" w:cs="Arial"/>
              </w:rPr>
              <w:t>constraints</w:t>
            </w:r>
            <w:proofErr w:type="gramEnd"/>
            <w:r w:rsidRPr="00207DAB">
              <w:rPr>
                <w:rFonts w:ascii="Arial" w:hAnsi="Arial" w:cs="Arial"/>
              </w:rPr>
              <w:t xml:space="preserve"> there are a number of circumstances here we do not meter existing properties; these are defined in our metering policy.</w:t>
            </w:r>
          </w:p>
        </w:tc>
      </w:tr>
      <w:tr w:rsidR="00F4571D" w14:paraId="381CD903" w14:textId="77777777" w:rsidTr="00721D4B">
        <w:trPr>
          <w:trHeight w:val="842"/>
        </w:trPr>
        <w:tc>
          <w:tcPr>
            <w:tcW w:w="4112" w:type="dxa"/>
            <w:vAlign w:val="center"/>
          </w:tcPr>
          <w:p w14:paraId="610667CE" w14:textId="3E17D084" w:rsidR="00F4571D" w:rsidRPr="00207DAB" w:rsidRDefault="00F4571D" w:rsidP="00B32A7C">
            <w:pPr>
              <w:tabs>
                <w:tab w:val="left" w:pos="939"/>
              </w:tabs>
              <w:rPr>
                <w:rFonts w:ascii="Arial" w:hAnsi="Arial" w:cs="Arial"/>
              </w:rPr>
            </w:pPr>
            <w:r w:rsidRPr="00207DAB">
              <w:rPr>
                <w:rFonts w:ascii="Arial" w:hAnsi="Arial" w:cs="Arial"/>
              </w:rPr>
              <w:t xml:space="preserve">Infeasible (when related to installing a meter) </w:t>
            </w:r>
          </w:p>
        </w:tc>
        <w:tc>
          <w:tcPr>
            <w:tcW w:w="6804" w:type="dxa"/>
            <w:vAlign w:val="center"/>
          </w:tcPr>
          <w:p w14:paraId="4DC921A7" w14:textId="60EEF29B" w:rsidR="00F4571D" w:rsidRPr="00207DAB" w:rsidRDefault="00F4571D" w:rsidP="00B32A7C">
            <w:pPr>
              <w:tabs>
                <w:tab w:val="left" w:pos="939"/>
              </w:tabs>
              <w:rPr>
                <w:rFonts w:ascii="Arial" w:hAnsi="Arial" w:cs="Arial"/>
              </w:rPr>
            </w:pPr>
            <w:r w:rsidRPr="00207DAB">
              <w:rPr>
                <w:rFonts w:ascii="Arial" w:hAnsi="Arial" w:cs="Arial"/>
              </w:rPr>
              <w:t>We do not believe that any installation is infeasible. It is possible to install a meter at any property, although it may be impractical to do so.</w:t>
            </w:r>
          </w:p>
        </w:tc>
      </w:tr>
      <w:tr w:rsidR="00B42475" w14:paraId="3A95F990" w14:textId="77777777" w:rsidTr="00721D4B">
        <w:trPr>
          <w:trHeight w:val="842"/>
        </w:trPr>
        <w:tc>
          <w:tcPr>
            <w:tcW w:w="4112" w:type="dxa"/>
            <w:vAlign w:val="center"/>
          </w:tcPr>
          <w:p w14:paraId="1B3694C0" w14:textId="26E57F76" w:rsidR="00B42475" w:rsidRPr="00B42475" w:rsidRDefault="00B42475" w:rsidP="00B32A7C">
            <w:pPr>
              <w:tabs>
                <w:tab w:val="left" w:pos="939"/>
              </w:tabs>
              <w:rPr>
                <w:rFonts w:ascii="Arial" w:hAnsi="Arial" w:cs="Arial"/>
                <w:highlight w:val="yellow"/>
              </w:rPr>
            </w:pPr>
            <w:r w:rsidRPr="00B42475">
              <w:rPr>
                <w:rFonts w:ascii="Arial" w:hAnsi="Arial" w:cs="Arial"/>
              </w:rPr>
              <w:t>Materially complete</w:t>
            </w:r>
          </w:p>
        </w:tc>
        <w:tc>
          <w:tcPr>
            <w:tcW w:w="6804" w:type="dxa"/>
            <w:vAlign w:val="center"/>
          </w:tcPr>
          <w:p w14:paraId="17F55A4D" w14:textId="5421F3D2" w:rsidR="00B42475" w:rsidRPr="00B42475" w:rsidRDefault="00B42475" w:rsidP="00B32A7C">
            <w:pPr>
              <w:tabs>
                <w:tab w:val="left" w:pos="939"/>
              </w:tabs>
              <w:rPr>
                <w:rFonts w:ascii="Arial" w:hAnsi="Arial" w:cs="Arial"/>
                <w:highlight w:val="yellow"/>
              </w:rPr>
            </w:pPr>
            <w:r w:rsidRPr="00B42475">
              <w:rPr>
                <w:rFonts w:ascii="Arial" w:hAnsi="Arial" w:cs="Arial"/>
              </w:rPr>
              <w:t>All mandatory information required is provided and the information is sufficient to enable us to undertake the service which has been requested.</w:t>
            </w:r>
          </w:p>
        </w:tc>
      </w:tr>
      <w:tr w:rsidR="00B42475" w14:paraId="7C90B98C" w14:textId="77777777" w:rsidTr="00721D4B">
        <w:trPr>
          <w:trHeight w:val="842"/>
        </w:trPr>
        <w:tc>
          <w:tcPr>
            <w:tcW w:w="4112" w:type="dxa"/>
            <w:vAlign w:val="center"/>
          </w:tcPr>
          <w:p w14:paraId="41C05B48" w14:textId="3CF77D06" w:rsidR="00B42475" w:rsidRPr="00B42475" w:rsidRDefault="00B42475" w:rsidP="00B32A7C">
            <w:pPr>
              <w:tabs>
                <w:tab w:val="left" w:pos="939"/>
              </w:tabs>
              <w:rPr>
                <w:rFonts w:ascii="Arial" w:hAnsi="Arial" w:cs="Arial"/>
                <w:highlight w:val="yellow"/>
              </w:rPr>
            </w:pPr>
            <w:r w:rsidRPr="00B42475">
              <w:rPr>
                <w:rFonts w:ascii="Arial" w:hAnsi="Arial" w:cs="Arial"/>
              </w:rPr>
              <w:t>Non-household customer</w:t>
            </w:r>
          </w:p>
        </w:tc>
        <w:tc>
          <w:tcPr>
            <w:tcW w:w="6804" w:type="dxa"/>
            <w:vAlign w:val="center"/>
          </w:tcPr>
          <w:p w14:paraId="0B7AAECE" w14:textId="59CCA01D" w:rsidR="00B42475" w:rsidRPr="00B42475" w:rsidRDefault="00B42475" w:rsidP="00B32A7C">
            <w:pPr>
              <w:tabs>
                <w:tab w:val="left" w:pos="939"/>
              </w:tabs>
              <w:rPr>
                <w:rFonts w:ascii="Arial" w:hAnsi="Arial" w:cs="Arial"/>
                <w:highlight w:val="yellow"/>
              </w:rPr>
            </w:pPr>
            <w:r w:rsidRPr="00B42475">
              <w:rPr>
                <w:rFonts w:ascii="Arial" w:hAnsi="Arial" w:cs="Arial"/>
              </w:rPr>
              <w:t>A customer that is eligible to be provided with sewerage services by a sewerage licensee since the new retail market opened in April 2017.</w:t>
            </w:r>
          </w:p>
        </w:tc>
      </w:tr>
      <w:tr w:rsidR="00B42475" w14:paraId="7AA84F3B" w14:textId="77777777" w:rsidTr="00721D4B">
        <w:trPr>
          <w:trHeight w:val="842"/>
        </w:trPr>
        <w:tc>
          <w:tcPr>
            <w:tcW w:w="4112" w:type="dxa"/>
            <w:vAlign w:val="center"/>
          </w:tcPr>
          <w:p w14:paraId="65AA49FA" w14:textId="433F98E5" w:rsidR="00B42475" w:rsidRPr="00B42475" w:rsidRDefault="00B42475" w:rsidP="00B32A7C">
            <w:pPr>
              <w:tabs>
                <w:tab w:val="left" w:pos="939"/>
              </w:tabs>
              <w:rPr>
                <w:rFonts w:ascii="Arial" w:hAnsi="Arial" w:cs="Arial"/>
              </w:rPr>
            </w:pPr>
            <w:r w:rsidRPr="00B42475">
              <w:rPr>
                <w:rFonts w:ascii="Arial" w:hAnsi="Arial" w:cs="Arial"/>
              </w:rPr>
              <w:t>Non-primary charges</w:t>
            </w:r>
          </w:p>
        </w:tc>
        <w:tc>
          <w:tcPr>
            <w:tcW w:w="6804" w:type="dxa"/>
            <w:vAlign w:val="center"/>
          </w:tcPr>
          <w:p w14:paraId="50E4F56E" w14:textId="18A4E22B" w:rsidR="00B42475" w:rsidRPr="00B42475" w:rsidRDefault="00B42475" w:rsidP="00B32A7C">
            <w:pPr>
              <w:tabs>
                <w:tab w:val="left" w:pos="939"/>
              </w:tabs>
              <w:rPr>
                <w:rFonts w:ascii="Arial" w:hAnsi="Arial" w:cs="Arial"/>
              </w:rPr>
            </w:pPr>
            <w:r w:rsidRPr="00B42475">
              <w:rPr>
                <w:rFonts w:ascii="Arial" w:hAnsi="Arial" w:cs="Arial"/>
              </w:rPr>
              <w:t>Has the same meaning as the definition of that term in the Wholesale Contract/Wholesale-Retail Code.</w:t>
            </w:r>
          </w:p>
        </w:tc>
      </w:tr>
      <w:tr w:rsidR="00B42475" w14:paraId="2F04854A" w14:textId="77777777" w:rsidTr="00721D4B">
        <w:trPr>
          <w:trHeight w:val="842"/>
        </w:trPr>
        <w:tc>
          <w:tcPr>
            <w:tcW w:w="4112" w:type="dxa"/>
            <w:vAlign w:val="center"/>
          </w:tcPr>
          <w:p w14:paraId="17ABD47A" w14:textId="3C48A182" w:rsidR="00B42475" w:rsidRPr="00B42475" w:rsidRDefault="00B42475" w:rsidP="00B32A7C">
            <w:pPr>
              <w:tabs>
                <w:tab w:val="left" w:pos="939"/>
              </w:tabs>
              <w:rPr>
                <w:rFonts w:ascii="Arial" w:hAnsi="Arial" w:cs="Arial"/>
              </w:rPr>
            </w:pPr>
            <w:r w:rsidRPr="00B42475">
              <w:rPr>
                <w:rFonts w:ascii="Arial" w:hAnsi="Arial" w:cs="Arial"/>
              </w:rPr>
              <w:t>Non-primary services</w:t>
            </w:r>
          </w:p>
        </w:tc>
        <w:tc>
          <w:tcPr>
            <w:tcW w:w="6804" w:type="dxa"/>
            <w:vAlign w:val="center"/>
          </w:tcPr>
          <w:p w14:paraId="36031334" w14:textId="7376E3CA" w:rsidR="00B42475" w:rsidRPr="00B42475" w:rsidRDefault="00B42475" w:rsidP="00B32A7C">
            <w:pPr>
              <w:tabs>
                <w:tab w:val="left" w:pos="939"/>
              </w:tabs>
              <w:rPr>
                <w:rFonts w:ascii="Arial" w:hAnsi="Arial" w:cs="Arial"/>
              </w:rPr>
            </w:pPr>
            <w:r w:rsidRPr="00B42475">
              <w:rPr>
                <w:rFonts w:ascii="Arial" w:hAnsi="Arial" w:cs="Arial"/>
              </w:rPr>
              <w:t xml:space="preserve">In the context of the Wholesale Contract for Wholesale Services means those services provided by </w:t>
            </w:r>
            <w:r w:rsidR="00B77A1A">
              <w:rPr>
                <w:rFonts w:ascii="Arial" w:hAnsi="Arial" w:cs="Arial"/>
              </w:rPr>
              <w:t>County Water Ltd</w:t>
            </w:r>
            <w:r w:rsidRPr="00B42475">
              <w:rPr>
                <w:rFonts w:ascii="Arial" w:hAnsi="Arial" w:cs="Arial"/>
              </w:rPr>
              <w:t xml:space="preserve"> to the retailer which attract non-primary charges and a range of customers which attract non-primary charges. For the avoidance of doubt, these charges are not calculated by the market operator. It should also be noted that some nonprimary services may also be provided direct by </w:t>
            </w:r>
            <w:r w:rsidR="00B77A1A">
              <w:rPr>
                <w:rFonts w:ascii="Arial" w:hAnsi="Arial" w:cs="Arial"/>
              </w:rPr>
              <w:t>County Water Ltd</w:t>
            </w:r>
            <w:r w:rsidRPr="00B42475">
              <w:rPr>
                <w:rFonts w:ascii="Arial" w:hAnsi="Arial" w:cs="Arial"/>
              </w:rPr>
              <w:t xml:space="preserve"> to non-household customers.</w:t>
            </w:r>
          </w:p>
        </w:tc>
      </w:tr>
      <w:tr w:rsidR="00B77A1A" w14:paraId="5A4C9670" w14:textId="77777777" w:rsidTr="00721D4B">
        <w:trPr>
          <w:trHeight w:val="842"/>
        </w:trPr>
        <w:tc>
          <w:tcPr>
            <w:tcW w:w="4112" w:type="dxa"/>
            <w:vAlign w:val="center"/>
          </w:tcPr>
          <w:p w14:paraId="2639E729" w14:textId="3C31A8E1" w:rsidR="00B77A1A" w:rsidRPr="00207DAB" w:rsidRDefault="00B77A1A" w:rsidP="00B32A7C">
            <w:pPr>
              <w:tabs>
                <w:tab w:val="left" w:pos="939"/>
              </w:tabs>
              <w:rPr>
                <w:rFonts w:ascii="Arial" w:hAnsi="Arial" w:cs="Arial"/>
              </w:rPr>
            </w:pPr>
            <w:r w:rsidRPr="00207DAB">
              <w:rPr>
                <w:rFonts w:ascii="Arial" w:hAnsi="Arial" w:cs="Arial"/>
              </w:rPr>
              <w:t>Non-standard service</w:t>
            </w:r>
          </w:p>
        </w:tc>
        <w:tc>
          <w:tcPr>
            <w:tcW w:w="6804" w:type="dxa"/>
            <w:vAlign w:val="center"/>
          </w:tcPr>
          <w:p w14:paraId="1665CBEA" w14:textId="08C18DBF" w:rsidR="00B77A1A" w:rsidRPr="00207DAB" w:rsidRDefault="00B77A1A" w:rsidP="00B32A7C">
            <w:pPr>
              <w:tabs>
                <w:tab w:val="left" w:pos="939"/>
              </w:tabs>
              <w:rPr>
                <w:rFonts w:ascii="Arial" w:hAnsi="Arial" w:cs="Arial"/>
              </w:rPr>
            </w:pPr>
            <w:r w:rsidRPr="00207DAB">
              <w:rPr>
                <w:rFonts w:ascii="Arial" w:hAnsi="Arial" w:cs="Arial"/>
              </w:rPr>
              <w:t>Additional services, over and above the “standard” services, which may be requested by a retailer and be subject to the provision of a quotation by the wholesaler.</w:t>
            </w:r>
          </w:p>
        </w:tc>
      </w:tr>
      <w:tr w:rsidR="00B77A1A" w14:paraId="253FEF18" w14:textId="77777777" w:rsidTr="00153D9B">
        <w:trPr>
          <w:trHeight w:val="584"/>
        </w:trPr>
        <w:tc>
          <w:tcPr>
            <w:tcW w:w="4112" w:type="dxa"/>
            <w:vAlign w:val="center"/>
          </w:tcPr>
          <w:p w14:paraId="20E129A4" w14:textId="01172E43" w:rsidR="00B77A1A" w:rsidRPr="00B77A1A" w:rsidRDefault="00B77A1A" w:rsidP="00B32A7C">
            <w:pPr>
              <w:tabs>
                <w:tab w:val="left" w:pos="939"/>
              </w:tabs>
              <w:rPr>
                <w:rFonts w:ascii="Arial" w:hAnsi="Arial" w:cs="Arial"/>
                <w:highlight w:val="yellow"/>
              </w:rPr>
            </w:pPr>
            <w:r w:rsidRPr="00B77A1A">
              <w:rPr>
                <w:rFonts w:ascii="Arial" w:hAnsi="Arial" w:cs="Arial"/>
              </w:rPr>
              <w:t>Normal working hours</w:t>
            </w:r>
          </w:p>
        </w:tc>
        <w:tc>
          <w:tcPr>
            <w:tcW w:w="6804" w:type="dxa"/>
            <w:vAlign w:val="center"/>
          </w:tcPr>
          <w:p w14:paraId="790739C3" w14:textId="67BE0597" w:rsidR="00B77A1A" w:rsidRPr="00B77A1A" w:rsidRDefault="00B77A1A" w:rsidP="00B32A7C">
            <w:pPr>
              <w:tabs>
                <w:tab w:val="left" w:pos="939"/>
              </w:tabs>
              <w:rPr>
                <w:rFonts w:ascii="Arial" w:hAnsi="Arial" w:cs="Arial"/>
                <w:highlight w:val="yellow"/>
              </w:rPr>
            </w:pPr>
            <w:r w:rsidRPr="00B77A1A">
              <w:rPr>
                <w:rFonts w:ascii="Arial" w:hAnsi="Arial" w:cs="Arial"/>
              </w:rPr>
              <w:t>These are defined as hours within our published normal working hours</w:t>
            </w:r>
            <w:r w:rsidR="00207DAB">
              <w:rPr>
                <w:rFonts w:ascii="Arial" w:hAnsi="Arial" w:cs="Arial"/>
              </w:rPr>
              <w:t>.</w:t>
            </w:r>
          </w:p>
        </w:tc>
      </w:tr>
      <w:tr w:rsidR="00B77A1A" w14:paraId="7D30B114" w14:textId="77777777" w:rsidTr="00721D4B">
        <w:trPr>
          <w:trHeight w:val="842"/>
        </w:trPr>
        <w:tc>
          <w:tcPr>
            <w:tcW w:w="4112" w:type="dxa"/>
            <w:vAlign w:val="center"/>
          </w:tcPr>
          <w:p w14:paraId="3D5D83D1" w14:textId="49A7632E" w:rsidR="00B77A1A" w:rsidRPr="00207DAB" w:rsidRDefault="00B77A1A" w:rsidP="00B32A7C">
            <w:pPr>
              <w:tabs>
                <w:tab w:val="left" w:pos="939"/>
              </w:tabs>
              <w:rPr>
                <w:rFonts w:ascii="Arial" w:hAnsi="Arial" w:cs="Arial"/>
              </w:rPr>
            </w:pPr>
            <w:r w:rsidRPr="00207DAB">
              <w:rPr>
                <w:rFonts w:ascii="Arial" w:hAnsi="Arial" w:cs="Arial"/>
              </w:rPr>
              <w:t>Outside our normal working hours</w:t>
            </w:r>
          </w:p>
        </w:tc>
        <w:tc>
          <w:tcPr>
            <w:tcW w:w="6804" w:type="dxa"/>
            <w:vAlign w:val="center"/>
          </w:tcPr>
          <w:p w14:paraId="4796BF2B" w14:textId="319C7D2B" w:rsidR="00B77A1A" w:rsidRPr="00207DAB" w:rsidRDefault="0001185A" w:rsidP="00B32A7C">
            <w:pPr>
              <w:tabs>
                <w:tab w:val="left" w:pos="939"/>
              </w:tabs>
              <w:rPr>
                <w:rFonts w:ascii="Arial" w:hAnsi="Arial" w:cs="Arial"/>
              </w:rPr>
            </w:pPr>
            <w:r w:rsidRPr="00207DAB">
              <w:rPr>
                <w:rFonts w:ascii="Arial" w:hAnsi="Arial" w:cs="Arial"/>
              </w:rPr>
              <w:t>These are defined as hours outside of our normal working hours, which may differ by service.</w:t>
            </w:r>
          </w:p>
        </w:tc>
      </w:tr>
      <w:tr w:rsidR="006D4B92" w14:paraId="453EA1C0" w14:textId="77777777" w:rsidTr="00721D4B">
        <w:trPr>
          <w:trHeight w:val="842"/>
        </w:trPr>
        <w:tc>
          <w:tcPr>
            <w:tcW w:w="4112" w:type="dxa"/>
            <w:vAlign w:val="center"/>
          </w:tcPr>
          <w:p w14:paraId="1A3F0051" w14:textId="21716C97" w:rsidR="006D4B92" w:rsidRPr="0001185A" w:rsidRDefault="006D4B92" w:rsidP="00B32A7C">
            <w:pPr>
              <w:tabs>
                <w:tab w:val="left" w:pos="939"/>
              </w:tabs>
              <w:rPr>
                <w:rFonts w:ascii="Arial" w:hAnsi="Arial" w:cs="Arial"/>
              </w:rPr>
            </w:pPr>
            <w:r>
              <w:rPr>
                <w:rFonts w:ascii="Arial" w:hAnsi="Arial" w:cs="Arial"/>
              </w:rPr>
              <w:t>Outside Stop Valve</w:t>
            </w:r>
          </w:p>
        </w:tc>
        <w:tc>
          <w:tcPr>
            <w:tcW w:w="6804" w:type="dxa"/>
            <w:vAlign w:val="center"/>
          </w:tcPr>
          <w:p w14:paraId="7DFBF04C" w14:textId="070F089D" w:rsidR="006D4B92" w:rsidRPr="0001185A" w:rsidRDefault="006D4B92" w:rsidP="00B32A7C">
            <w:pPr>
              <w:tabs>
                <w:tab w:val="left" w:pos="939"/>
              </w:tabs>
              <w:rPr>
                <w:rFonts w:ascii="Arial" w:hAnsi="Arial" w:cs="Arial"/>
              </w:rPr>
            </w:pPr>
            <w:r>
              <w:rPr>
                <w:rFonts w:ascii="Arial" w:hAnsi="Arial" w:cs="Arial"/>
              </w:rPr>
              <w:t xml:space="preserve">A valve, external </w:t>
            </w:r>
            <w:r w:rsidR="00153D9B">
              <w:rPr>
                <w:rFonts w:ascii="Arial" w:hAnsi="Arial" w:cs="Arial"/>
              </w:rPr>
              <w:t xml:space="preserve">to the premises which is used to control the supply of water to one or multiple premises. </w:t>
            </w:r>
          </w:p>
        </w:tc>
      </w:tr>
      <w:tr w:rsidR="0001185A" w14:paraId="399FB9D3" w14:textId="77777777" w:rsidTr="00721D4B">
        <w:trPr>
          <w:trHeight w:val="842"/>
        </w:trPr>
        <w:tc>
          <w:tcPr>
            <w:tcW w:w="4112" w:type="dxa"/>
            <w:vAlign w:val="center"/>
          </w:tcPr>
          <w:p w14:paraId="6F51BE10" w14:textId="08B97D0E" w:rsidR="0001185A" w:rsidRPr="0001185A" w:rsidRDefault="0001185A" w:rsidP="00B32A7C">
            <w:pPr>
              <w:tabs>
                <w:tab w:val="left" w:pos="939"/>
              </w:tabs>
              <w:rPr>
                <w:rFonts w:ascii="Arial" w:hAnsi="Arial" w:cs="Arial"/>
                <w:highlight w:val="yellow"/>
              </w:rPr>
            </w:pPr>
            <w:r w:rsidRPr="0001185A">
              <w:rPr>
                <w:rFonts w:ascii="Arial" w:hAnsi="Arial" w:cs="Arial"/>
              </w:rPr>
              <w:t>Primary charges</w:t>
            </w:r>
          </w:p>
        </w:tc>
        <w:tc>
          <w:tcPr>
            <w:tcW w:w="6804" w:type="dxa"/>
            <w:vAlign w:val="center"/>
          </w:tcPr>
          <w:p w14:paraId="2DF5613A" w14:textId="50744EA3" w:rsidR="0001185A" w:rsidRPr="0001185A" w:rsidRDefault="0001185A" w:rsidP="00B32A7C">
            <w:pPr>
              <w:tabs>
                <w:tab w:val="left" w:pos="939"/>
              </w:tabs>
              <w:rPr>
                <w:rFonts w:ascii="Arial" w:hAnsi="Arial" w:cs="Arial"/>
                <w:highlight w:val="yellow"/>
              </w:rPr>
            </w:pPr>
            <w:r w:rsidRPr="0001185A">
              <w:rPr>
                <w:rFonts w:ascii="Arial" w:hAnsi="Arial" w:cs="Arial"/>
              </w:rPr>
              <w:t>Has the same meaning as the definition of that term in the Wholesale Contract/Wholesale-Retail Code.</w:t>
            </w:r>
          </w:p>
        </w:tc>
      </w:tr>
      <w:tr w:rsidR="0001185A" w14:paraId="1C7019DB" w14:textId="77777777" w:rsidTr="00721D4B">
        <w:trPr>
          <w:trHeight w:val="842"/>
        </w:trPr>
        <w:tc>
          <w:tcPr>
            <w:tcW w:w="4112" w:type="dxa"/>
            <w:vAlign w:val="center"/>
          </w:tcPr>
          <w:p w14:paraId="7CFB1452" w14:textId="3594B746" w:rsidR="0001185A" w:rsidRPr="00207DAB" w:rsidRDefault="0001185A" w:rsidP="00207DAB">
            <w:pPr>
              <w:pStyle w:val="NoSpacing"/>
              <w:rPr>
                <w:rFonts w:ascii="Arial" w:hAnsi="Arial" w:cs="Arial"/>
              </w:rPr>
            </w:pPr>
            <w:r w:rsidRPr="00207DAB">
              <w:rPr>
                <w:rFonts w:ascii="Arial" w:hAnsi="Arial" w:cs="Arial"/>
              </w:rPr>
              <w:lastRenderedPageBreak/>
              <w:t xml:space="preserve">Primary services </w:t>
            </w:r>
          </w:p>
        </w:tc>
        <w:tc>
          <w:tcPr>
            <w:tcW w:w="6804" w:type="dxa"/>
            <w:vAlign w:val="center"/>
          </w:tcPr>
          <w:p w14:paraId="47477C15" w14:textId="1E94E897" w:rsidR="0001185A" w:rsidRPr="00207DAB" w:rsidRDefault="0001185A" w:rsidP="00B32A7C">
            <w:pPr>
              <w:tabs>
                <w:tab w:val="left" w:pos="939"/>
              </w:tabs>
              <w:rPr>
                <w:rFonts w:ascii="Arial" w:hAnsi="Arial" w:cs="Arial"/>
              </w:rPr>
            </w:pPr>
            <w:r w:rsidRPr="00207DAB">
              <w:rPr>
                <w:rFonts w:ascii="Arial" w:hAnsi="Arial" w:cs="Arial"/>
              </w:rPr>
              <w:t>Those services provided by County Water Ltd to retailers which attract primary charges and are calculated by the market operator.</w:t>
            </w:r>
          </w:p>
        </w:tc>
      </w:tr>
      <w:tr w:rsidR="006077F8" w14:paraId="6BEADC27" w14:textId="77777777" w:rsidTr="006077F8">
        <w:trPr>
          <w:trHeight w:val="509"/>
        </w:trPr>
        <w:tc>
          <w:tcPr>
            <w:tcW w:w="4112" w:type="dxa"/>
            <w:shd w:val="clear" w:color="auto" w:fill="006699"/>
            <w:vAlign w:val="center"/>
          </w:tcPr>
          <w:p w14:paraId="067208F0" w14:textId="34EE9F7E" w:rsidR="006077F8" w:rsidRPr="0001185A" w:rsidRDefault="006077F8" w:rsidP="006077F8">
            <w:pPr>
              <w:pStyle w:val="NoSpacing"/>
              <w:rPr>
                <w:rFonts w:ascii="Arial" w:hAnsi="Arial" w:cs="Arial"/>
              </w:rPr>
            </w:pPr>
            <w:r>
              <w:rPr>
                <w:rFonts w:ascii="Arial" w:hAnsi="Arial" w:cs="Arial"/>
                <w:b/>
                <w:color w:val="FFFFFF" w:themeColor="background1"/>
              </w:rPr>
              <w:t>Definition</w:t>
            </w:r>
          </w:p>
        </w:tc>
        <w:tc>
          <w:tcPr>
            <w:tcW w:w="6804" w:type="dxa"/>
            <w:shd w:val="clear" w:color="auto" w:fill="006699"/>
            <w:vAlign w:val="center"/>
          </w:tcPr>
          <w:p w14:paraId="5FCD8EC4" w14:textId="416967D6" w:rsidR="006077F8" w:rsidRPr="0001185A" w:rsidRDefault="006077F8" w:rsidP="006077F8">
            <w:pPr>
              <w:tabs>
                <w:tab w:val="left" w:pos="939"/>
              </w:tabs>
              <w:rPr>
                <w:rFonts w:ascii="Arial" w:hAnsi="Arial" w:cs="Arial"/>
              </w:rPr>
            </w:pPr>
            <w:r>
              <w:rPr>
                <w:rFonts w:ascii="Arial" w:hAnsi="Arial" w:cs="Arial"/>
                <w:b/>
                <w:color w:val="FFFFFF" w:themeColor="background1"/>
              </w:rPr>
              <w:t>Description</w:t>
            </w:r>
          </w:p>
        </w:tc>
      </w:tr>
      <w:tr w:rsidR="0001185A" w14:paraId="64A06744" w14:textId="77777777" w:rsidTr="00721D4B">
        <w:trPr>
          <w:trHeight w:val="842"/>
        </w:trPr>
        <w:tc>
          <w:tcPr>
            <w:tcW w:w="4112" w:type="dxa"/>
            <w:vAlign w:val="center"/>
          </w:tcPr>
          <w:p w14:paraId="6A005FB9" w14:textId="2E044905" w:rsidR="0001185A" w:rsidRPr="0001185A" w:rsidRDefault="0001185A" w:rsidP="0001185A">
            <w:pPr>
              <w:pStyle w:val="NoSpacing"/>
              <w:rPr>
                <w:rFonts w:ascii="Arial" w:hAnsi="Arial" w:cs="Arial"/>
                <w:highlight w:val="yellow"/>
              </w:rPr>
            </w:pPr>
            <w:r w:rsidRPr="0001185A">
              <w:rPr>
                <w:rFonts w:ascii="Arial" w:hAnsi="Arial" w:cs="Arial"/>
              </w:rPr>
              <w:t>Public sewer</w:t>
            </w:r>
          </w:p>
        </w:tc>
        <w:tc>
          <w:tcPr>
            <w:tcW w:w="6804" w:type="dxa"/>
            <w:vAlign w:val="center"/>
          </w:tcPr>
          <w:p w14:paraId="2B65349E" w14:textId="7449E07D" w:rsidR="0001185A" w:rsidRPr="0001185A" w:rsidRDefault="0001185A" w:rsidP="00B32A7C">
            <w:pPr>
              <w:tabs>
                <w:tab w:val="left" w:pos="939"/>
              </w:tabs>
              <w:rPr>
                <w:rFonts w:ascii="Arial" w:hAnsi="Arial" w:cs="Arial"/>
                <w:highlight w:val="yellow"/>
              </w:rPr>
            </w:pPr>
            <w:r w:rsidRPr="0001185A">
              <w:rPr>
                <w:rFonts w:ascii="Arial" w:hAnsi="Arial" w:cs="Arial"/>
              </w:rPr>
              <w:t>Shall have the same meaning as in the Act.</w:t>
            </w:r>
          </w:p>
        </w:tc>
      </w:tr>
      <w:tr w:rsidR="0001185A" w14:paraId="6C0857E9" w14:textId="77777777" w:rsidTr="00721D4B">
        <w:trPr>
          <w:trHeight w:val="842"/>
        </w:trPr>
        <w:tc>
          <w:tcPr>
            <w:tcW w:w="4112" w:type="dxa"/>
            <w:vAlign w:val="center"/>
          </w:tcPr>
          <w:p w14:paraId="1B491D72" w14:textId="3D14FE13" w:rsidR="0001185A" w:rsidRPr="006077F8" w:rsidRDefault="0001185A" w:rsidP="0001185A">
            <w:pPr>
              <w:pStyle w:val="NoSpacing"/>
              <w:rPr>
                <w:rFonts w:ascii="Arial" w:hAnsi="Arial" w:cs="Arial"/>
              </w:rPr>
            </w:pPr>
            <w:r w:rsidRPr="006077F8">
              <w:rPr>
                <w:rFonts w:ascii="Arial" w:hAnsi="Arial" w:cs="Arial"/>
              </w:rPr>
              <w:t>The Regulations</w:t>
            </w:r>
          </w:p>
        </w:tc>
        <w:tc>
          <w:tcPr>
            <w:tcW w:w="6804" w:type="dxa"/>
            <w:vAlign w:val="center"/>
          </w:tcPr>
          <w:p w14:paraId="5EFB5C14" w14:textId="2D0BEE9F" w:rsidR="0001185A" w:rsidRPr="006077F8" w:rsidRDefault="0001185A" w:rsidP="00B32A7C">
            <w:pPr>
              <w:tabs>
                <w:tab w:val="left" w:pos="939"/>
              </w:tabs>
              <w:rPr>
                <w:rFonts w:ascii="Arial" w:hAnsi="Arial" w:cs="Arial"/>
              </w:rPr>
            </w:pPr>
            <w:r w:rsidRPr="006077F8">
              <w:rPr>
                <w:rFonts w:ascii="Arial" w:hAnsi="Arial" w:cs="Arial"/>
              </w:rPr>
              <w:t>The Water (Meters) Regulations 1988 (S.I. 1988(1048)) as amended.</w:t>
            </w:r>
          </w:p>
        </w:tc>
      </w:tr>
      <w:tr w:rsidR="0001185A" w14:paraId="6286C53F" w14:textId="77777777" w:rsidTr="00721D4B">
        <w:trPr>
          <w:trHeight w:val="842"/>
        </w:trPr>
        <w:tc>
          <w:tcPr>
            <w:tcW w:w="4112" w:type="dxa"/>
            <w:vAlign w:val="center"/>
          </w:tcPr>
          <w:p w14:paraId="2FE7C3AB" w14:textId="383228D7" w:rsidR="0001185A" w:rsidRPr="0001185A" w:rsidRDefault="0001185A" w:rsidP="0001185A">
            <w:pPr>
              <w:pStyle w:val="NoSpacing"/>
              <w:rPr>
                <w:rFonts w:ascii="Arial" w:hAnsi="Arial" w:cs="Arial"/>
                <w:highlight w:val="yellow"/>
              </w:rPr>
            </w:pPr>
            <w:r w:rsidRPr="0001185A">
              <w:rPr>
                <w:rFonts w:ascii="Arial" w:hAnsi="Arial" w:cs="Arial"/>
              </w:rPr>
              <w:t>Retailer</w:t>
            </w:r>
          </w:p>
        </w:tc>
        <w:tc>
          <w:tcPr>
            <w:tcW w:w="6804" w:type="dxa"/>
            <w:vAlign w:val="center"/>
          </w:tcPr>
          <w:p w14:paraId="694A4D5D" w14:textId="4D674723" w:rsidR="0001185A" w:rsidRPr="0001185A" w:rsidRDefault="0001185A" w:rsidP="00B32A7C">
            <w:pPr>
              <w:tabs>
                <w:tab w:val="left" w:pos="939"/>
              </w:tabs>
              <w:rPr>
                <w:rFonts w:ascii="Arial" w:hAnsi="Arial" w:cs="Arial"/>
                <w:highlight w:val="yellow"/>
              </w:rPr>
            </w:pPr>
            <w:proofErr w:type="spellStart"/>
            <w:r w:rsidRPr="0001185A">
              <w:rPr>
                <w:rFonts w:ascii="Arial" w:hAnsi="Arial" w:cs="Arial"/>
              </w:rPr>
              <w:t>i</w:t>
            </w:r>
            <w:proofErr w:type="spellEnd"/>
            <w:r w:rsidRPr="0001185A">
              <w:rPr>
                <w:rFonts w:ascii="Arial" w:hAnsi="Arial" w:cs="Arial"/>
              </w:rPr>
              <w:t>) for the purposes of the Wastewater Wholesale Charges Scheme and the Trade Effluent Scheme, a company holding a sewerage licence granted under the provisions of Section 17BA of the Act.</w:t>
            </w:r>
          </w:p>
        </w:tc>
      </w:tr>
      <w:tr w:rsidR="00153D9B" w14:paraId="10C50200" w14:textId="77777777" w:rsidTr="00153D9B">
        <w:trPr>
          <w:trHeight w:val="694"/>
        </w:trPr>
        <w:tc>
          <w:tcPr>
            <w:tcW w:w="4112" w:type="dxa"/>
            <w:vAlign w:val="center"/>
          </w:tcPr>
          <w:p w14:paraId="37A40536" w14:textId="095125D4" w:rsidR="00153D9B" w:rsidRPr="006077F8" w:rsidRDefault="00153D9B" w:rsidP="0001185A">
            <w:pPr>
              <w:pStyle w:val="NoSpacing"/>
              <w:rPr>
                <w:rFonts w:ascii="Arial" w:hAnsi="Arial" w:cs="Arial"/>
              </w:rPr>
            </w:pPr>
            <w:r>
              <w:rPr>
                <w:rFonts w:ascii="Arial" w:hAnsi="Arial" w:cs="Arial"/>
              </w:rPr>
              <w:t>Sensitive Customer</w:t>
            </w:r>
          </w:p>
        </w:tc>
        <w:tc>
          <w:tcPr>
            <w:tcW w:w="6804" w:type="dxa"/>
            <w:vAlign w:val="center"/>
          </w:tcPr>
          <w:p w14:paraId="2A68C7C8" w14:textId="58EC4D07" w:rsidR="00153D9B" w:rsidRPr="00FC2488" w:rsidRDefault="00153D9B" w:rsidP="00B32A7C">
            <w:pPr>
              <w:tabs>
                <w:tab w:val="left" w:pos="939"/>
              </w:tabs>
              <w:rPr>
                <w:rFonts w:ascii="Arial" w:hAnsi="Arial" w:cs="Arial"/>
              </w:rPr>
            </w:pPr>
            <w:r w:rsidRPr="00FC2488">
              <w:rPr>
                <w:rFonts w:ascii="Arial" w:hAnsi="Arial" w:cs="Arial"/>
              </w:rPr>
              <w:t>Any non-household customer who falls within the definition of sensitive set out in the TWUL Sensitive Customers Policy (non-household).</w:t>
            </w:r>
          </w:p>
        </w:tc>
      </w:tr>
      <w:tr w:rsidR="00F91935" w14:paraId="04C28F1B" w14:textId="77777777" w:rsidTr="00721D4B">
        <w:trPr>
          <w:trHeight w:val="842"/>
        </w:trPr>
        <w:tc>
          <w:tcPr>
            <w:tcW w:w="4112" w:type="dxa"/>
            <w:vAlign w:val="center"/>
          </w:tcPr>
          <w:p w14:paraId="7C334688" w14:textId="03C14607" w:rsidR="00F91935" w:rsidRPr="006077F8" w:rsidRDefault="00F91935" w:rsidP="0001185A">
            <w:pPr>
              <w:pStyle w:val="NoSpacing"/>
              <w:rPr>
                <w:rFonts w:ascii="Arial" w:hAnsi="Arial" w:cs="Arial"/>
              </w:rPr>
            </w:pPr>
            <w:r w:rsidRPr="006077F8">
              <w:rPr>
                <w:rFonts w:ascii="Arial" w:hAnsi="Arial" w:cs="Arial"/>
              </w:rPr>
              <w:t>Service component</w:t>
            </w:r>
          </w:p>
        </w:tc>
        <w:tc>
          <w:tcPr>
            <w:tcW w:w="6804" w:type="dxa"/>
            <w:vAlign w:val="center"/>
          </w:tcPr>
          <w:p w14:paraId="6BF51DB8" w14:textId="77777777" w:rsidR="00F91935" w:rsidRPr="006077F8" w:rsidRDefault="00F91935" w:rsidP="00B32A7C">
            <w:pPr>
              <w:tabs>
                <w:tab w:val="left" w:pos="939"/>
              </w:tabs>
              <w:rPr>
                <w:rFonts w:ascii="Arial" w:hAnsi="Arial" w:cs="Arial"/>
              </w:rPr>
            </w:pPr>
            <w:r w:rsidRPr="006077F8">
              <w:rPr>
                <w:rFonts w:ascii="Arial" w:hAnsi="Arial" w:cs="Arial"/>
              </w:rPr>
              <w:t xml:space="preserve">Means, </w:t>
            </w:r>
          </w:p>
          <w:p w14:paraId="5625D754" w14:textId="54EF1F06" w:rsidR="00F91935" w:rsidRPr="006077F8" w:rsidRDefault="00F91935" w:rsidP="00B32A7C">
            <w:pPr>
              <w:tabs>
                <w:tab w:val="left" w:pos="939"/>
              </w:tabs>
              <w:rPr>
                <w:rFonts w:ascii="Arial" w:hAnsi="Arial" w:cs="Arial"/>
              </w:rPr>
            </w:pPr>
            <w:r w:rsidRPr="006077F8">
              <w:rPr>
                <w:rFonts w:ascii="Arial" w:hAnsi="Arial" w:cs="Arial"/>
              </w:rPr>
              <w:sym w:font="Symbol" w:char="F0B7"/>
            </w:r>
            <w:r w:rsidRPr="006077F8">
              <w:rPr>
                <w:rFonts w:ascii="Arial" w:hAnsi="Arial" w:cs="Arial"/>
              </w:rPr>
              <w:t xml:space="preserve"> for sewerage services: metered foul sewerage, assessed sewerage, unmeasured sewerage, surface water drainage services, trade effluent services and charge adjustments</w:t>
            </w:r>
            <w:r w:rsidR="006077F8">
              <w:rPr>
                <w:rFonts w:ascii="Arial" w:hAnsi="Arial" w:cs="Arial"/>
              </w:rPr>
              <w:t>.</w:t>
            </w:r>
          </w:p>
        </w:tc>
      </w:tr>
      <w:tr w:rsidR="00F91935" w14:paraId="701CDB19" w14:textId="77777777" w:rsidTr="00F869EB">
        <w:trPr>
          <w:trHeight w:val="451"/>
        </w:trPr>
        <w:tc>
          <w:tcPr>
            <w:tcW w:w="4112" w:type="dxa"/>
            <w:vAlign w:val="center"/>
          </w:tcPr>
          <w:p w14:paraId="17CA3FB7" w14:textId="748617B2" w:rsidR="00F91935" w:rsidRPr="006077F8" w:rsidRDefault="00F91935" w:rsidP="0001185A">
            <w:pPr>
              <w:pStyle w:val="NoSpacing"/>
              <w:rPr>
                <w:rFonts w:ascii="Arial" w:hAnsi="Arial" w:cs="Arial"/>
              </w:rPr>
            </w:pPr>
            <w:r w:rsidRPr="006077F8">
              <w:rPr>
                <w:rFonts w:ascii="Arial" w:hAnsi="Arial" w:cs="Arial"/>
              </w:rPr>
              <w:t xml:space="preserve">Service pipe </w:t>
            </w:r>
          </w:p>
        </w:tc>
        <w:tc>
          <w:tcPr>
            <w:tcW w:w="6804" w:type="dxa"/>
            <w:vAlign w:val="center"/>
          </w:tcPr>
          <w:p w14:paraId="44FB19E2" w14:textId="79CC3BFA" w:rsidR="00F91935" w:rsidRPr="006077F8" w:rsidRDefault="00F91935" w:rsidP="00B32A7C">
            <w:pPr>
              <w:tabs>
                <w:tab w:val="left" w:pos="939"/>
              </w:tabs>
              <w:rPr>
                <w:rFonts w:ascii="Arial" w:hAnsi="Arial" w:cs="Arial"/>
              </w:rPr>
            </w:pPr>
            <w:r w:rsidRPr="006077F8">
              <w:rPr>
                <w:rFonts w:ascii="Arial" w:hAnsi="Arial" w:cs="Arial"/>
              </w:rPr>
              <w:t>A service pipe within the meaning given in the Act.</w:t>
            </w:r>
          </w:p>
        </w:tc>
      </w:tr>
      <w:tr w:rsidR="00980BC9" w14:paraId="22908AF9" w14:textId="77777777" w:rsidTr="00721D4B">
        <w:trPr>
          <w:trHeight w:val="842"/>
        </w:trPr>
        <w:tc>
          <w:tcPr>
            <w:tcW w:w="4112" w:type="dxa"/>
            <w:vAlign w:val="center"/>
          </w:tcPr>
          <w:p w14:paraId="376B92DC" w14:textId="00ECC6C7" w:rsidR="00980BC9" w:rsidRPr="006077F8" w:rsidRDefault="00980BC9" w:rsidP="0001185A">
            <w:pPr>
              <w:pStyle w:val="NoSpacing"/>
              <w:rPr>
                <w:rFonts w:ascii="Arial" w:hAnsi="Arial" w:cs="Arial"/>
              </w:rPr>
            </w:pPr>
            <w:r w:rsidRPr="006077F8">
              <w:rPr>
                <w:rFonts w:ascii="Arial" w:hAnsi="Arial" w:cs="Arial"/>
              </w:rPr>
              <w:t>Service request</w:t>
            </w:r>
          </w:p>
        </w:tc>
        <w:tc>
          <w:tcPr>
            <w:tcW w:w="6804" w:type="dxa"/>
            <w:vAlign w:val="center"/>
          </w:tcPr>
          <w:p w14:paraId="34EDD1A6" w14:textId="06DE2436" w:rsidR="00980BC9" w:rsidRPr="006077F8" w:rsidRDefault="00980BC9" w:rsidP="00B32A7C">
            <w:pPr>
              <w:tabs>
                <w:tab w:val="left" w:pos="939"/>
              </w:tabs>
              <w:rPr>
                <w:rFonts w:ascii="Arial" w:hAnsi="Arial" w:cs="Arial"/>
              </w:rPr>
            </w:pPr>
            <w:r w:rsidRPr="006077F8">
              <w:rPr>
                <w:rFonts w:ascii="Arial" w:hAnsi="Arial" w:cs="Arial"/>
              </w:rPr>
              <w:t>A formal request from a retailer/Inset Provider/Third Party for a service to be provided. Service requests will be made in writing using specified forms and will be sent through a series of order management channels offered by County Water Ltd Wholesale business.</w:t>
            </w:r>
          </w:p>
        </w:tc>
      </w:tr>
      <w:tr w:rsidR="00980BC9" w14:paraId="194DB064" w14:textId="77777777" w:rsidTr="00721D4B">
        <w:trPr>
          <w:trHeight w:val="842"/>
        </w:trPr>
        <w:tc>
          <w:tcPr>
            <w:tcW w:w="4112" w:type="dxa"/>
            <w:vAlign w:val="center"/>
          </w:tcPr>
          <w:p w14:paraId="56F2AAC8" w14:textId="0A08CE69" w:rsidR="00980BC9" w:rsidRPr="006077F8" w:rsidRDefault="00980BC9" w:rsidP="0001185A">
            <w:pPr>
              <w:pStyle w:val="NoSpacing"/>
              <w:rPr>
                <w:rFonts w:ascii="Arial" w:hAnsi="Arial" w:cs="Arial"/>
              </w:rPr>
            </w:pPr>
            <w:r w:rsidRPr="006077F8">
              <w:rPr>
                <w:rFonts w:ascii="Arial" w:hAnsi="Arial" w:cs="Arial"/>
              </w:rPr>
              <w:t>Shared supply</w:t>
            </w:r>
          </w:p>
        </w:tc>
        <w:tc>
          <w:tcPr>
            <w:tcW w:w="6804" w:type="dxa"/>
            <w:vAlign w:val="center"/>
          </w:tcPr>
          <w:p w14:paraId="368EA49B" w14:textId="620A0C64" w:rsidR="00980BC9" w:rsidRPr="006077F8" w:rsidRDefault="00980BC9" w:rsidP="00B32A7C">
            <w:pPr>
              <w:tabs>
                <w:tab w:val="left" w:pos="939"/>
              </w:tabs>
              <w:rPr>
                <w:rFonts w:ascii="Arial" w:hAnsi="Arial" w:cs="Arial"/>
              </w:rPr>
            </w:pPr>
            <w:r w:rsidRPr="006077F8">
              <w:rPr>
                <w:rFonts w:ascii="Arial" w:hAnsi="Arial" w:cs="Arial"/>
              </w:rPr>
              <w:t>A single supply from the main that feeds multiple properties, e.g. a block of flats that is fed by a single communications pipe and supply pipe.</w:t>
            </w:r>
          </w:p>
        </w:tc>
      </w:tr>
      <w:tr w:rsidR="00F869EB" w14:paraId="622058E8" w14:textId="77777777" w:rsidTr="00980BC9">
        <w:trPr>
          <w:trHeight w:val="651"/>
        </w:trPr>
        <w:tc>
          <w:tcPr>
            <w:tcW w:w="4112" w:type="dxa"/>
            <w:vAlign w:val="center"/>
          </w:tcPr>
          <w:p w14:paraId="498E8CCD" w14:textId="0E2AE920" w:rsidR="00F869EB" w:rsidRPr="006077F8" w:rsidRDefault="00F869EB" w:rsidP="0001185A">
            <w:pPr>
              <w:pStyle w:val="NoSpacing"/>
              <w:rPr>
                <w:rFonts w:ascii="Arial" w:hAnsi="Arial" w:cs="Arial"/>
              </w:rPr>
            </w:pPr>
            <w:r>
              <w:rPr>
                <w:rFonts w:ascii="Arial" w:hAnsi="Arial" w:cs="Arial"/>
              </w:rPr>
              <w:t>Standard Service</w:t>
            </w:r>
          </w:p>
        </w:tc>
        <w:tc>
          <w:tcPr>
            <w:tcW w:w="6804" w:type="dxa"/>
            <w:vAlign w:val="center"/>
          </w:tcPr>
          <w:p w14:paraId="7CBC629F" w14:textId="3029BED9" w:rsidR="00F869EB" w:rsidRPr="00F869EB" w:rsidRDefault="00F869EB" w:rsidP="00B32A7C">
            <w:pPr>
              <w:tabs>
                <w:tab w:val="left" w:pos="939"/>
              </w:tabs>
              <w:rPr>
                <w:rFonts w:ascii="Arial" w:hAnsi="Arial" w:cs="Arial"/>
              </w:rPr>
            </w:pPr>
            <w:r w:rsidRPr="00F869EB">
              <w:rPr>
                <w:rFonts w:ascii="Arial" w:hAnsi="Arial" w:cs="Arial"/>
              </w:rPr>
              <w:t xml:space="preserve">Standard service as defined on a </w:t>
            </w:r>
            <w:proofErr w:type="gramStart"/>
            <w:r w:rsidRPr="00F869EB">
              <w:rPr>
                <w:rFonts w:ascii="Arial" w:hAnsi="Arial" w:cs="Arial"/>
              </w:rPr>
              <w:t>service by service</w:t>
            </w:r>
            <w:proofErr w:type="gramEnd"/>
            <w:r w:rsidRPr="00F869EB">
              <w:rPr>
                <w:rFonts w:ascii="Arial" w:hAnsi="Arial" w:cs="Arial"/>
              </w:rPr>
              <w:t xml:space="preserve"> basis.</w:t>
            </w:r>
          </w:p>
        </w:tc>
      </w:tr>
      <w:tr w:rsidR="00980BC9" w14:paraId="30E77872" w14:textId="77777777" w:rsidTr="00980BC9">
        <w:trPr>
          <w:trHeight w:val="651"/>
        </w:trPr>
        <w:tc>
          <w:tcPr>
            <w:tcW w:w="4112" w:type="dxa"/>
            <w:vAlign w:val="center"/>
          </w:tcPr>
          <w:p w14:paraId="74E2AF33" w14:textId="3E507940" w:rsidR="00980BC9" w:rsidRPr="006077F8" w:rsidRDefault="00980BC9" w:rsidP="0001185A">
            <w:pPr>
              <w:pStyle w:val="NoSpacing"/>
              <w:rPr>
                <w:rFonts w:ascii="Arial" w:hAnsi="Arial" w:cs="Arial"/>
              </w:rPr>
            </w:pPr>
            <w:r w:rsidRPr="006077F8">
              <w:rPr>
                <w:rFonts w:ascii="Arial" w:hAnsi="Arial" w:cs="Arial"/>
              </w:rPr>
              <w:t>Street works</w:t>
            </w:r>
          </w:p>
        </w:tc>
        <w:tc>
          <w:tcPr>
            <w:tcW w:w="6804" w:type="dxa"/>
            <w:vAlign w:val="center"/>
          </w:tcPr>
          <w:p w14:paraId="376821DA" w14:textId="0C80339F" w:rsidR="00980BC9" w:rsidRPr="006077F8" w:rsidRDefault="00980BC9" w:rsidP="00B32A7C">
            <w:pPr>
              <w:tabs>
                <w:tab w:val="left" w:pos="939"/>
              </w:tabs>
              <w:rPr>
                <w:rFonts w:ascii="Arial" w:hAnsi="Arial" w:cs="Arial"/>
              </w:rPr>
            </w:pPr>
            <w:r w:rsidRPr="006077F8">
              <w:rPr>
                <w:rFonts w:ascii="Arial" w:hAnsi="Arial" w:cs="Arial"/>
              </w:rPr>
              <w:t>The act of carrying out work, using equipment and machinery in the street or public highway. The rules that we must adhere to are set out in the New Roads and Street Works Act 1991 (NRSWA) and the Traffic Management Act 2004. Many local authorities also operate permit, notice and lane rental schemes which we must also comply with.</w:t>
            </w:r>
          </w:p>
        </w:tc>
      </w:tr>
      <w:tr w:rsidR="00980BC9" w14:paraId="1695F251" w14:textId="77777777" w:rsidTr="00980BC9">
        <w:trPr>
          <w:trHeight w:val="651"/>
        </w:trPr>
        <w:tc>
          <w:tcPr>
            <w:tcW w:w="4112" w:type="dxa"/>
            <w:vAlign w:val="center"/>
          </w:tcPr>
          <w:p w14:paraId="2B92AF78" w14:textId="652F3A2A" w:rsidR="00980BC9" w:rsidRPr="006077F8" w:rsidRDefault="00980BC9" w:rsidP="0001185A">
            <w:pPr>
              <w:pStyle w:val="NoSpacing"/>
              <w:rPr>
                <w:rFonts w:ascii="Arial" w:hAnsi="Arial" w:cs="Arial"/>
              </w:rPr>
            </w:pPr>
            <w:r w:rsidRPr="006077F8">
              <w:rPr>
                <w:rFonts w:ascii="Arial" w:hAnsi="Arial" w:cs="Arial"/>
              </w:rPr>
              <w:t>Supply pipe</w:t>
            </w:r>
          </w:p>
        </w:tc>
        <w:tc>
          <w:tcPr>
            <w:tcW w:w="6804" w:type="dxa"/>
            <w:vAlign w:val="center"/>
          </w:tcPr>
          <w:p w14:paraId="356248F7" w14:textId="2C78CCD4" w:rsidR="00980BC9" w:rsidRPr="006077F8" w:rsidRDefault="00980BC9" w:rsidP="00B32A7C">
            <w:pPr>
              <w:tabs>
                <w:tab w:val="left" w:pos="939"/>
              </w:tabs>
              <w:rPr>
                <w:rFonts w:ascii="Arial" w:hAnsi="Arial" w:cs="Arial"/>
              </w:rPr>
            </w:pPr>
            <w:r w:rsidRPr="006077F8">
              <w:rPr>
                <w:rFonts w:ascii="Arial" w:hAnsi="Arial" w:cs="Arial"/>
              </w:rPr>
              <w:t>The section of the water pipe that is the customer's responsibility, this normally runs from the premises boundary (or meter) to the inside stop valve.</w:t>
            </w:r>
          </w:p>
        </w:tc>
      </w:tr>
      <w:tr w:rsidR="00733029" w14:paraId="11311B14" w14:textId="77777777" w:rsidTr="00980BC9">
        <w:trPr>
          <w:trHeight w:val="651"/>
        </w:trPr>
        <w:tc>
          <w:tcPr>
            <w:tcW w:w="4112" w:type="dxa"/>
            <w:vAlign w:val="center"/>
          </w:tcPr>
          <w:p w14:paraId="497E54B6" w14:textId="6C6F73C5" w:rsidR="00733029" w:rsidRPr="00733029" w:rsidRDefault="00733029" w:rsidP="0001185A">
            <w:pPr>
              <w:pStyle w:val="NoSpacing"/>
              <w:rPr>
                <w:rFonts w:ascii="Arial" w:hAnsi="Arial" w:cs="Arial"/>
                <w:highlight w:val="yellow"/>
              </w:rPr>
            </w:pPr>
            <w:r w:rsidRPr="00733029">
              <w:rPr>
                <w:rFonts w:ascii="Arial" w:hAnsi="Arial" w:cs="Arial"/>
              </w:rPr>
              <w:t>Tariff</w:t>
            </w:r>
          </w:p>
        </w:tc>
        <w:tc>
          <w:tcPr>
            <w:tcW w:w="6804" w:type="dxa"/>
            <w:vAlign w:val="center"/>
          </w:tcPr>
          <w:p w14:paraId="0E84A16A" w14:textId="0041F296" w:rsidR="00733029" w:rsidRPr="00733029" w:rsidRDefault="00733029" w:rsidP="00B32A7C">
            <w:pPr>
              <w:tabs>
                <w:tab w:val="left" w:pos="939"/>
              </w:tabs>
              <w:rPr>
                <w:rFonts w:ascii="Arial" w:hAnsi="Arial" w:cs="Arial"/>
                <w:highlight w:val="yellow"/>
              </w:rPr>
            </w:pPr>
            <w:r w:rsidRPr="00733029">
              <w:rPr>
                <w:rFonts w:ascii="Arial" w:hAnsi="Arial" w:cs="Arial"/>
              </w:rPr>
              <w:t>The individual tariff in this document by which one service or service component can be charged.</w:t>
            </w:r>
          </w:p>
        </w:tc>
      </w:tr>
      <w:tr w:rsidR="00733029" w14:paraId="159BE083" w14:textId="77777777" w:rsidTr="00980BC9">
        <w:trPr>
          <w:trHeight w:val="651"/>
        </w:trPr>
        <w:tc>
          <w:tcPr>
            <w:tcW w:w="4112" w:type="dxa"/>
            <w:vAlign w:val="center"/>
          </w:tcPr>
          <w:p w14:paraId="30984E84" w14:textId="5FD74661" w:rsidR="00733029" w:rsidRPr="006077F8" w:rsidRDefault="00733029" w:rsidP="0001185A">
            <w:pPr>
              <w:pStyle w:val="NoSpacing"/>
              <w:rPr>
                <w:rFonts w:ascii="Arial" w:hAnsi="Arial" w:cs="Arial"/>
              </w:rPr>
            </w:pPr>
            <w:r w:rsidRPr="006077F8">
              <w:rPr>
                <w:rFonts w:ascii="Arial" w:hAnsi="Arial" w:cs="Arial"/>
              </w:rPr>
              <w:t>Temporary emergency disconnection</w:t>
            </w:r>
          </w:p>
        </w:tc>
        <w:tc>
          <w:tcPr>
            <w:tcW w:w="6804" w:type="dxa"/>
            <w:vAlign w:val="center"/>
          </w:tcPr>
          <w:p w14:paraId="5E08E090" w14:textId="17315084" w:rsidR="00733029" w:rsidRPr="006077F8" w:rsidRDefault="00733029" w:rsidP="00B32A7C">
            <w:pPr>
              <w:tabs>
                <w:tab w:val="left" w:pos="939"/>
              </w:tabs>
              <w:rPr>
                <w:rFonts w:ascii="Arial" w:hAnsi="Arial" w:cs="Arial"/>
              </w:rPr>
            </w:pPr>
            <w:r w:rsidRPr="006077F8">
              <w:rPr>
                <w:rFonts w:ascii="Arial" w:hAnsi="Arial" w:cs="Arial"/>
              </w:rPr>
              <w:t>The supply will be disconnected at the outside stop valve, (possibly within the meter pit), but the supply point will not be deregistered.</w:t>
            </w:r>
          </w:p>
        </w:tc>
      </w:tr>
      <w:tr w:rsidR="00733029" w14:paraId="1C790F95" w14:textId="77777777" w:rsidTr="006077F8">
        <w:trPr>
          <w:trHeight w:val="651"/>
        </w:trPr>
        <w:tc>
          <w:tcPr>
            <w:tcW w:w="4112" w:type="dxa"/>
            <w:vAlign w:val="center"/>
          </w:tcPr>
          <w:p w14:paraId="4615640F" w14:textId="47F9443A" w:rsidR="00733029" w:rsidRPr="00852C04" w:rsidRDefault="00733029" w:rsidP="0001185A">
            <w:pPr>
              <w:pStyle w:val="NoSpacing"/>
              <w:rPr>
                <w:rFonts w:ascii="Arial" w:hAnsi="Arial" w:cs="Arial"/>
              </w:rPr>
            </w:pPr>
            <w:r w:rsidRPr="00852C04">
              <w:rPr>
                <w:rFonts w:ascii="Arial" w:hAnsi="Arial" w:cs="Arial"/>
              </w:rPr>
              <w:t>County Water</w:t>
            </w:r>
          </w:p>
        </w:tc>
        <w:tc>
          <w:tcPr>
            <w:tcW w:w="6804" w:type="dxa"/>
            <w:vAlign w:val="center"/>
          </w:tcPr>
          <w:p w14:paraId="3CE82D59" w14:textId="3FCD8820" w:rsidR="006077F8" w:rsidRPr="00852C04" w:rsidRDefault="00733029" w:rsidP="006077F8">
            <w:pPr>
              <w:pStyle w:val="Footer"/>
              <w:rPr>
                <w:rFonts w:ascii="Arial" w:hAnsi="Arial" w:cs="Arial"/>
              </w:rPr>
            </w:pPr>
            <w:r w:rsidRPr="00852C04">
              <w:rPr>
                <w:rFonts w:ascii="Arial" w:hAnsi="Arial" w:cs="Arial"/>
              </w:rPr>
              <w:t>County Water Ltd</w:t>
            </w:r>
            <w:r w:rsidR="00852C04" w:rsidRPr="00852C04">
              <w:rPr>
                <w:rFonts w:ascii="Arial" w:hAnsi="Arial" w:cs="Arial"/>
              </w:rPr>
              <w:t>.</w:t>
            </w:r>
            <w:r w:rsidRPr="00852C04">
              <w:rPr>
                <w:rFonts w:ascii="Arial" w:hAnsi="Arial" w:cs="Arial"/>
              </w:rPr>
              <w:t xml:space="preserve"> </w:t>
            </w:r>
            <w:r w:rsidR="006077F8" w:rsidRPr="00852C04">
              <w:rPr>
                <w:rFonts w:ascii="Arial" w:hAnsi="Arial" w:cs="Arial"/>
              </w:rPr>
              <w:t>Registration Number: 09873279</w:t>
            </w:r>
          </w:p>
          <w:p w14:paraId="32207B29" w14:textId="77777777" w:rsidR="006077F8" w:rsidRPr="00852C04" w:rsidRDefault="006077F8" w:rsidP="006077F8">
            <w:pPr>
              <w:pStyle w:val="Footer"/>
              <w:rPr>
                <w:rFonts w:ascii="Arial" w:hAnsi="Arial" w:cs="Arial"/>
              </w:rPr>
            </w:pPr>
            <w:r w:rsidRPr="00852C04">
              <w:rPr>
                <w:rFonts w:ascii="Arial" w:hAnsi="Arial" w:cs="Arial"/>
              </w:rPr>
              <w:t>Registered Office Heyford Park House, 52 Camp Road</w:t>
            </w:r>
          </w:p>
          <w:p w14:paraId="3DAC77B4" w14:textId="2817AD9F" w:rsidR="00733029" w:rsidRPr="00852C04" w:rsidRDefault="006077F8" w:rsidP="006077F8">
            <w:pPr>
              <w:pStyle w:val="Footer"/>
              <w:rPr>
                <w:rFonts w:ascii="Arial" w:hAnsi="Arial" w:cs="Arial"/>
              </w:rPr>
            </w:pPr>
            <w:r w:rsidRPr="00852C04">
              <w:rPr>
                <w:rFonts w:ascii="Arial" w:hAnsi="Arial" w:cs="Arial"/>
              </w:rPr>
              <w:t>Upper Heyford Bicester OX25 5HD</w:t>
            </w:r>
          </w:p>
        </w:tc>
      </w:tr>
      <w:tr w:rsidR="00733029" w14:paraId="2DB1B48C" w14:textId="77777777" w:rsidTr="00980BC9">
        <w:trPr>
          <w:trHeight w:val="651"/>
        </w:trPr>
        <w:tc>
          <w:tcPr>
            <w:tcW w:w="4112" w:type="dxa"/>
            <w:vAlign w:val="center"/>
          </w:tcPr>
          <w:p w14:paraId="0420E5F4" w14:textId="5D90D71B" w:rsidR="00733029" w:rsidRPr="00852C04" w:rsidRDefault="00733029" w:rsidP="0001185A">
            <w:pPr>
              <w:pStyle w:val="NoSpacing"/>
              <w:rPr>
                <w:rFonts w:ascii="Arial" w:hAnsi="Arial" w:cs="Arial"/>
              </w:rPr>
            </w:pPr>
            <w:r w:rsidRPr="00852C04">
              <w:rPr>
                <w:rFonts w:ascii="Arial" w:hAnsi="Arial" w:cs="Arial"/>
              </w:rPr>
              <w:lastRenderedPageBreak/>
              <w:t>Third Party</w:t>
            </w:r>
          </w:p>
        </w:tc>
        <w:tc>
          <w:tcPr>
            <w:tcW w:w="6804" w:type="dxa"/>
            <w:vAlign w:val="center"/>
          </w:tcPr>
          <w:p w14:paraId="7D227364" w14:textId="359A1491" w:rsidR="00733029" w:rsidRPr="00852C04" w:rsidRDefault="00733029" w:rsidP="00B32A7C">
            <w:pPr>
              <w:tabs>
                <w:tab w:val="left" w:pos="939"/>
              </w:tabs>
              <w:rPr>
                <w:rFonts w:ascii="Arial" w:hAnsi="Arial" w:cs="Arial"/>
              </w:rPr>
            </w:pPr>
            <w:r w:rsidRPr="00852C04">
              <w:rPr>
                <w:rFonts w:ascii="Arial" w:hAnsi="Arial" w:cs="Arial"/>
              </w:rPr>
              <w:t>Organisation that may act on behalf of retailers or non-household customers.</w:t>
            </w:r>
          </w:p>
        </w:tc>
      </w:tr>
    </w:tbl>
    <w:p w14:paraId="1E1EE01D" w14:textId="21886A11" w:rsidR="00852C04" w:rsidRDefault="00852C04"/>
    <w:tbl>
      <w:tblPr>
        <w:tblStyle w:val="TableGrid"/>
        <w:tblW w:w="10916" w:type="dxa"/>
        <w:tblInd w:w="-998" w:type="dxa"/>
        <w:tblLook w:val="04A0" w:firstRow="1" w:lastRow="0" w:firstColumn="1" w:lastColumn="0" w:noHBand="0" w:noVBand="1"/>
      </w:tblPr>
      <w:tblGrid>
        <w:gridCol w:w="4112"/>
        <w:gridCol w:w="6804"/>
      </w:tblGrid>
      <w:tr w:rsidR="00852C04" w14:paraId="14075BDE" w14:textId="77777777" w:rsidTr="00852C04">
        <w:trPr>
          <w:trHeight w:val="510"/>
        </w:trPr>
        <w:tc>
          <w:tcPr>
            <w:tcW w:w="4112" w:type="dxa"/>
            <w:shd w:val="clear" w:color="auto" w:fill="006699"/>
            <w:vAlign w:val="center"/>
          </w:tcPr>
          <w:p w14:paraId="4B5B8086" w14:textId="4CEC99F0" w:rsidR="00852C04" w:rsidRPr="00852C04" w:rsidRDefault="00852C04" w:rsidP="00852C04">
            <w:pPr>
              <w:pStyle w:val="NoSpacing"/>
              <w:rPr>
                <w:rFonts w:ascii="Arial" w:hAnsi="Arial" w:cs="Arial"/>
              </w:rPr>
            </w:pPr>
            <w:r>
              <w:rPr>
                <w:rFonts w:ascii="Arial" w:hAnsi="Arial" w:cs="Arial"/>
                <w:b/>
                <w:color w:val="FFFFFF" w:themeColor="background1"/>
              </w:rPr>
              <w:t>Definition</w:t>
            </w:r>
          </w:p>
        </w:tc>
        <w:tc>
          <w:tcPr>
            <w:tcW w:w="6804" w:type="dxa"/>
            <w:shd w:val="clear" w:color="auto" w:fill="006699"/>
            <w:vAlign w:val="center"/>
          </w:tcPr>
          <w:p w14:paraId="105E7DA8" w14:textId="2BDA5F82" w:rsidR="00852C04" w:rsidRPr="00852C04" w:rsidRDefault="00852C04" w:rsidP="00852C04">
            <w:pPr>
              <w:tabs>
                <w:tab w:val="left" w:pos="939"/>
              </w:tabs>
              <w:rPr>
                <w:rFonts w:ascii="Arial" w:hAnsi="Arial" w:cs="Arial"/>
              </w:rPr>
            </w:pPr>
            <w:r>
              <w:rPr>
                <w:rFonts w:ascii="Arial" w:hAnsi="Arial" w:cs="Arial"/>
                <w:b/>
                <w:color w:val="FFFFFF" w:themeColor="background1"/>
              </w:rPr>
              <w:t>Description</w:t>
            </w:r>
          </w:p>
        </w:tc>
      </w:tr>
      <w:tr w:rsidR="008E501A" w14:paraId="1FF1D7CA" w14:textId="77777777" w:rsidTr="00980BC9">
        <w:trPr>
          <w:trHeight w:val="651"/>
        </w:trPr>
        <w:tc>
          <w:tcPr>
            <w:tcW w:w="4112" w:type="dxa"/>
            <w:vAlign w:val="center"/>
          </w:tcPr>
          <w:p w14:paraId="4610449D" w14:textId="145BFFF7" w:rsidR="008E501A" w:rsidRPr="00852C04" w:rsidRDefault="008E501A" w:rsidP="0001185A">
            <w:pPr>
              <w:pStyle w:val="NoSpacing"/>
              <w:rPr>
                <w:rFonts w:ascii="Arial" w:hAnsi="Arial" w:cs="Arial"/>
              </w:rPr>
            </w:pPr>
            <w:r>
              <w:rPr>
                <w:rFonts w:ascii="Arial" w:hAnsi="Arial" w:cs="Arial"/>
              </w:rPr>
              <w:t>Traffic Management</w:t>
            </w:r>
          </w:p>
        </w:tc>
        <w:tc>
          <w:tcPr>
            <w:tcW w:w="6804" w:type="dxa"/>
            <w:vAlign w:val="center"/>
          </w:tcPr>
          <w:p w14:paraId="79251DB6" w14:textId="56D28207" w:rsidR="008E501A" w:rsidRPr="00852C04" w:rsidRDefault="008E501A" w:rsidP="00B32A7C">
            <w:pPr>
              <w:tabs>
                <w:tab w:val="left" w:pos="939"/>
              </w:tabs>
              <w:rPr>
                <w:rFonts w:ascii="Arial" w:hAnsi="Arial" w:cs="Arial"/>
              </w:rPr>
            </w:pPr>
            <w:r>
              <w:rPr>
                <w:rFonts w:ascii="Arial" w:hAnsi="Arial" w:cs="Arial"/>
              </w:rPr>
              <w:t>Collective term for any action taken to ensure compliance with legislation relating to carrying out work in the road or street.</w:t>
            </w:r>
          </w:p>
        </w:tc>
      </w:tr>
      <w:tr w:rsidR="00733029" w14:paraId="327B9C58" w14:textId="77777777" w:rsidTr="00980BC9">
        <w:trPr>
          <w:trHeight w:val="651"/>
        </w:trPr>
        <w:tc>
          <w:tcPr>
            <w:tcW w:w="4112" w:type="dxa"/>
            <w:vAlign w:val="center"/>
          </w:tcPr>
          <w:p w14:paraId="468524AB" w14:textId="46FE2DE6" w:rsidR="00733029" w:rsidRPr="00852C04" w:rsidRDefault="00733029" w:rsidP="0001185A">
            <w:pPr>
              <w:pStyle w:val="NoSpacing"/>
              <w:rPr>
                <w:rFonts w:ascii="Arial" w:hAnsi="Arial" w:cs="Arial"/>
              </w:rPr>
            </w:pPr>
            <w:r w:rsidRPr="00852C04">
              <w:rPr>
                <w:rFonts w:ascii="Arial" w:hAnsi="Arial" w:cs="Arial"/>
              </w:rPr>
              <w:t>Trade effluent</w:t>
            </w:r>
          </w:p>
        </w:tc>
        <w:tc>
          <w:tcPr>
            <w:tcW w:w="6804" w:type="dxa"/>
            <w:vAlign w:val="center"/>
          </w:tcPr>
          <w:p w14:paraId="7CDC8231" w14:textId="243882E3" w:rsidR="00733029" w:rsidRPr="00852C04" w:rsidRDefault="00733029" w:rsidP="00B32A7C">
            <w:pPr>
              <w:tabs>
                <w:tab w:val="left" w:pos="939"/>
              </w:tabs>
              <w:rPr>
                <w:rFonts w:ascii="Arial" w:hAnsi="Arial" w:cs="Arial"/>
              </w:rPr>
            </w:pPr>
            <w:r w:rsidRPr="00852C04">
              <w:rPr>
                <w:rFonts w:ascii="Arial" w:hAnsi="Arial" w:cs="Arial"/>
              </w:rPr>
              <w:t>The meaning given in section 141(1) of the Water Industry Act 1991, being (a) any liquid, either with or without particles of matter in suspension in the liquid, which is wholly or partly produced in the course of any trade or industry carried on at trade premises; and (b) in relation to any trade premises, means any such liquid which is so produced in the course of any trade or industry carried on at those premises, but does not include domestic sewerage</w:t>
            </w:r>
          </w:p>
        </w:tc>
      </w:tr>
      <w:tr w:rsidR="002018DC" w14:paraId="5D8618A6" w14:textId="77777777" w:rsidTr="00980BC9">
        <w:trPr>
          <w:trHeight w:val="651"/>
        </w:trPr>
        <w:tc>
          <w:tcPr>
            <w:tcW w:w="4112" w:type="dxa"/>
            <w:vAlign w:val="center"/>
          </w:tcPr>
          <w:p w14:paraId="2D437DC4" w14:textId="49ECD6E2" w:rsidR="002018DC" w:rsidRPr="00852C04" w:rsidRDefault="002018DC" w:rsidP="0001185A">
            <w:pPr>
              <w:pStyle w:val="NoSpacing"/>
              <w:rPr>
                <w:rFonts w:ascii="Arial" w:hAnsi="Arial" w:cs="Arial"/>
              </w:rPr>
            </w:pPr>
            <w:r w:rsidRPr="00852C04">
              <w:rPr>
                <w:rFonts w:ascii="Arial" w:hAnsi="Arial" w:cs="Arial"/>
              </w:rPr>
              <w:t>Trade premises</w:t>
            </w:r>
          </w:p>
        </w:tc>
        <w:tc>
          <w:tcPr>
            <w:tcW w:w="6804" w:type="dxa"/>
            <w:vAlign w:val="center"/>
          </w:tcPr>
          <w:p w14:paraId="113C9E00" w14:textId="6CEF9B41" w:rsidR="002018DC" w:rsidRPr="00852C04" w:rsidRDefault="002018DC" w:rsidP="00B32A7C">
            <w:pPr>
              <w:tabs>
                <w:tab w:val="left" w:pos="939"/>
              </w:tabs>
              <w:rPr>
                <w:rFonts w:ascii="Arial" w:hAnsi="Arial" w:cs="Arial"/>
              </w:rPr>
            </w:pPr>
            <w:r w:rsidRPr="00852C04">
              <w:rPr>
                <w:rFonts w:ascii="Arial" w:hAnsi="Arial" w:cs="Arial"/>
              </w:rPr>
              <w:t>Shall have the same meaning assigned as in section 141 of the Act.</w:t>
            </w:r>
          </w:p>
        </w:tc>
      </w:tr>
      <w:tr w:rsidR="002018DC" w14:paraId="6A7004EA" w14:textId="77777777" w:rsidTr="00980BC9">
        <w:trPr>
          <w:trHeight w:val="651"/>
        </w:trPr>
        <w:tc>
          <w:tcPr>
            <w:tcW w:w="4112" w:type="dxa"/>
            <w:vAlign w:val="center"/>
          </w:tcPr>
          <w:p w14:paraId="6F61D72B" w14:textId="786AFA0C" w:rsidR="002018DC" w:rsidRPr="00852C04" w:rsidRDefault="002018DC" w:rsidP="0001185A">
            <w:pPr>
              <w:pStyle w:val="NoSpacing"/>
              <w:rPr>
                <w:rFonts w:ascii="Arial" w:hAnsi="Arial" w:cs="Arial"/>
              </w:rPr>
            </w:pPr>
            <w:r w:rsidRPr="00852C04">
              <w:rPr>
                <w:rFonts w:ascii="Arial" w:hAnsi="Arial" w:cs="Arial"/>
              </w:rPr>
              <w:t>Wastage</w:t>
            </w:r>
          </w:p>
        </w:tc>
        <w:tc>
          <w:tcPr>
            <w:tcW w:w="6804" w:type="dxa"/>
            <w:vAlign w:val="center"/>
          </w:tcPr>
          <w:p w14:paraId="17887EAA" w14:textId="57F7770C" w:rsidR="002018DC" w:rsidRPr="00852C04" w:rsidRDefault="002018DC" w:rsidP="00B32A7C">
            <w:pPr>
              <w:tabs>
                <w:tab w:val="left" w:pos="939"/>
              </w:tabs>
              <w:rPr>
                <w:rFonts w:ascii="Arial" w:hAnsi="Arial" w:cs="Arial"/>
              </w:rPr>
            </w:pPr>
            <w:r w:rsidRPr="00852C04">
              <w:rPr>
                <w:rFonts w:ascii="Arial" w:hAnsi="Arial" w:cs="Arial"/>
              </w:rPr>
              <w:t>The loss of water from defective pipes and/or fittings, above or below ground, whether visible or not, that occurs after the internal stop valve and is not normal usage. Within the water industry wastage is also known as plumbing losses.</w:t>
            </w:r>
          </w:p>
        </w:tc>
      </w:tr>
      <w:tr w:rsidR="002018DC" w14:paraId="42968306" w14:textId="77777777" w:rsidTr="00980BC9">
        <w:trPr>
          <w:trHeight w:val="651"/>
        </w:trPr>
        <w:tc>
          <w:tcPr>
            <w:tcW w:w="4112" w:type="dxa"/>
            <w:vAlign w:val="center"/>
          </w:tcPr>
          <w:p w14:paraId="0A497325" w14:textId="1CACB549" w:rsidR="002018DC" w:rsidRDefault="002018DC" w:rsidP="0001185A">
            <w:pPr>
              <w:pStyle w:val="NoSpacing"/>
              <w:rPr>
                <w:rFonts w:ascii="Arial" w:hAnsi="Arial" w:cs="Arial"/>
                <w:highlight w:val="yellow"/>
              </w:rPr>
            </w:pPr>
            <w:r w:rsidRPr="002018DC">
              <w:rPr>
                <w:rFonts w:ascii="Arial" w:hAnsi="Arial" w:cs="Arial"/>
              </w:rPr>
              <w:t>We</w:t>
            </w:r>
          </w:p>
        </w:tc>
        <w:tc>
          <w:tcPr>
            <w:tcW w:w="6804" w:type="dxa"/>
            <w:vAlign w:val="center"/>
          </w:tcPr>
          <w:p w14:paraId="3ED31341" w14:textId="09EF5344" w:rsidR="002018DC" w:rsidRPr="002018DC" w:rsidRDefault="002018DC" w:rsidP="00B32A7C">
            <w:pPr>
              <w:tabs>
                <w:tab w:val="left" w:pos="939"/>
              </w:tabs>
              <w:rPr>
                <w:rFonts w:ascii="Arial" w:hAnsi="Arial" w:cs="Arial"/>
              </w:rPr>
            </w:pPr>
            <w:r>
              <w:rPr>
                <w:rFonts w:ascii="Arial" w:hAnsi="Arial" w:cs="Arial"/>
              </w:rPr>
              <w:t>Refers to County Water Ltd</w:t>
            </w:r>
            <w:r w:rsidR="00852C04">
              <w:rPr>
                <w:rFonts w:ascii="Arial" w:hAnsi="Arial" w:cs="Arial"/>
              </w:rPr>
              <w:t>.</w:t>
            </w:r>
          </w:p>
        </w:tc>
      </w:tr>
      <w:tr w:rsidR="002018DC" w14:paraId="1A66F7EA" w14:textId="77777777" w:rsidTr="00980BC9">
        <w:trPr>
          <w:trHeight w:val="651"/>
        </w:trPr>
        <w:tc>
          <w:tcPr>
            <w:tcW w:w="4112" w:type="dxa"/>
            <w:vAlign w:val="center"/>
          </w:tcPr>
          <w:p w14:paraId="78112F8F" w14:textId="05496AAB" w:rsidR="002018DC" w:rsidRPr="002018DC" w:rsidRDefault="002018DC" w:rsidP="0001185A">
            <w:pPr>
              <w:pStyle w:val="NoSpacing"/>
              <w:rPr>
                <w:rFonts w:ascii="Arial" w:hAnsi="Arial" w:cs="Arial"/>
              </w:rPr>
            </w:pPr>
            <w:r>
              <w:rPr>
                <w:rFonts w:ascii="Arial" w:hAnsi="Arial" w:cs="Arial"/>
              </w:rPr>
              <w:t>Website</w:t>
            </w:r>
          </w:p>
        </w:tc>
        <w:tc>
          <w:tcPr>
            <w:tcW w:w="6804" w:type="dxa"/>
            <w:vAlign w:val="center"/>
          </w:tcPr>
          <w:p w14:paraId="465A89D8" w14:textId="1A2D778A" w:rsidR="002018DC" w:rsidRDefault="002018DC" w:rsidP="00B32A7C">
            <w:pPr>
              <w:tabs>
                <w:tab w:val="left" w:pos="939"/>
              </w:tabs>
              <w:rPr>
                <w:rFonts w:ascii="Arial" w:hAnsi="Arial" w:cs="Arial"/>
              </w:rPr>
            </w:pPr>
            <w:r>
              <w:rPr>
                <w:rFonts w:ascii="Arial" w:hAnsi="Arial" w:cs="Arial"/>
              </w:rPr>
              <w:t>Refers to www.countywater.co.uk</w:t>
            </w:r>
          </w:p>
        </w:tc>
      </w:tr>
      <w:tr w:rsidR="002018DC" w14:paraId="2263EC36" w14:textId="77777777" w:rsidTr="00980BC9">
        <w:trPr>
          <w:trHeight w:val="651"/>
        </w:trPr>
        <w:tc>
          <w:tcPr>
            <w:tcW w:w="4112" w:type="dxa"/>
            <w:vAlign w:val="center"/>
          </w:tcPr>
          <w:p w14:paraId="26AABDD9" w14:textId="007DA899" w:rsidR="002018DC" w:rsidRDefault="00D74216" w:rsidP="0001185A">
            <w:pPr>
              <w:pStyle w:val="NoSpacing"/>
              <w:rPr>
                <w:rFonts w:ascii="Arial" w:hAnsi="Arial" w:cs="Arial"/>
              </w:rPr>
            </w:pPr>
            <w:r>
              <w:rPr>
                <w:rFonts w:ascii="Arial" w:hAnsi="Arial" w:cs="Arial"/>
              </w:rPr>
              <w:t>Wholesale Charges Schedule</w:t>
            </w:r>
          </w:p>
        </w:tc>
        <w:tc>
          <w:tcPr>
            <w:tcW w:w="6804" w:type="dxa"/>
            <w:vAlign w:val="center"/>
          </w:tcPr>
          <w:p w14:paraId="7F42026C" w14:textId="3CE8498A" w:rsidR="002018DC" w:rsidRPr="00D74216" w:rsidRDefault="00D74216" w:rsidP="00B32A7C">
            <w:pPr>
              <w:tabs>
                <w:tab w:val="left" w:pos="939"/>
              </w:tabs>
              <w:rPr>
                <w:rFonts w:ascii="Arial" w:hAnsi="Arial" w:cs="Arial"/>
              </w:rPr>
            </w:pPr>
            <w:r w:rsidRPr="00D74216">
              <w:rPr>
                <w:rFonts w:ascii="Arial" w:hAnsi="Arial" w:cs="Arial"/>
              </w:rPr>
              <w:t xml:space="preserve">The schedule of charges fixed by </w:t>
            </w:r>
            <w:r w:rsidR="00EA7327">
              <w:rPr>
                <w:rFonts w:ascii="Arial" w:hAnsi="Arial" w:cs="Arial"/>
              </w:rPr>
              <w:t>County</w:t>
            </w:r>
            <w:r w:rsidRPr="00D74216">
              <w:rPr>
                <w:rFonts w:ascii="Arial" w:hAnsi="Arial" w:cs="Arial"/>
              </w:rPr>
              <w:t xml:space="preserve"> Water for the </w:t>
            </w:r>
            <w:r w:rsidR="00852C04">
              <w:rPr>
                <w:rFonts w:ascii="Arial" w:hAnsi="Arial" w:cs="Arial"/>
              </w:rPr>
              <w:t xml:space="preserve">applicable </w:t>
            </w:r>
            <w:r w:rsidRPr="00D74216">
              <w:rPr>
                <w:rFonts w:ascii="Arial" w:hAnsi="Arial" w:cs="Arial"/>
              </w:rPr>
              <w:t>financial year</w:t>
            </w:r>
            <w:r w:rsidR="00787200">
              <w:rPr>
                <w:rFonts w:ascii="Arial" w:hAnsi="Arial" w:cs="Arial"/>
              </w:rPr>
              <w:t xml:space="preserve"> </w:t>
            </w:r>
            <w:r w:rsidR="00180866">
              <w:rPr>
                <w:rFonts w:ascii="Arial" w:hAnsi="Arial" w:cs="Arial"/>
              </w:rPr>
              <w:t>202</w:t>
            </w:r>
            <w:r w:rsidR="00B51E1A">
              <w:rPr>
                <w:rFonts w:ascii="Arial" w:hAnsi="Arial" w:cs="Arial"/>
              </w:rPr>
              <w:t>3</w:t>
            </w:r>
            <w:r w:rsidR="00787200">
              <w:rPr>
                <w:rFonts w:ascii="Arial" w:hAnsi="Arial" w:cs="Arial"/>
              </w:rPr>
              <w:t>-2</w:t>
            </w:r>
            <w:r w:rsidR="00B51E1A">
              <w:rPr>
                <w:rFonts w:ascii="Arial" w:hAnsi="Arial" w:cs="Arial"/>
              </w:rPr>
              <w:t>4</w:t>
            </w:r>
            <w:r w:rsidRPr="00D74216">
              <w:rPr>
                <w:rFonts w:ascii="Arial" w:hAnsi="Arial" w:cs="Arial"/>
              </w:rPr>
              <w:t>.</w:t>
            </w:r>
          </w:p>
        </w:tc>
      </w:tr>
      <w:tr w:rsidR="00B30F45" w14:paraId="161BD5DE" w14:textId="77777777" w:rsidTr="00980BC9">
        <w:trPr>
          <w:trHeight w:val="651"/>
        </w:trPr>
        <w:tc>
          <w:tcPr>
            <w:tcW w:w="4112" w:type="dxa"/>
            <w:vAlign w:val="center"/>
          </w:tcPr>
          <w:p w14:paraId="6F3BBC18" w14:textId="4B3EB2B7" w:rsidR="00B30F45" w:rsidRDefault="00B30F45" w:rsidP="0001185A">
            <w:pPr>
              <w:pStyle w:val="NoSpacing"/>
              <w:rPr>
                <w:rFonts w:ascii="Arial" w:hAnsi="Arial" w:cs="Arial"/>
              </w:rPr>
            </w:pPr>
            <w:r>
              <w:rPr>
                <w:rFonts w:ascii="Arial" w:hAnsi="Arial" w:cs="Arial"/>
              </w:rPr>
              <w:t>Wholesale Contract for Wholesale Services</w:t>
            </w:r>
          </w:p>
        </w:tc>
        <w:tc>
          <w:tcPr>
            <w:tcW w:w="6804" w:type="dxa"/>
            <w:vAlign w:val="center"/>
          </w:tcPr>
          <w:p w14:paraId="61ABC7C6" w14:textId="7C6C8085" w:rsidR="00B30F45" w:rsidRPr="00B30F45" w:rsidRDefault="00B30F45" w:rsidP="00B32A7C">
            <w:pPr>
              <w:tabs>
                <w:tab w:val="left" w:pos="939"/>
              </w:tabs>
              <w:rPr>
                <w:rFonts w:ascii="Arial" w:hAnsi="Arial" w:cs="Arial"/>
              </w:rPr>
            </w:pPr>
            <w:r w:rsidRPr="00B30F45">
              <w:rPr>
                <w:rFonts w:ascii="Arial" w:hAnsi="Arial" w:cs="Arial"/>
              </w:rPr>
              <w:t xml:space="preserve">The contract between </w:t>
            </w:r>
            <w:r w:rsidR="00033A51">
              <w:rPr>
                <w:rFonts w:ascii="Arial" w:hAnsi="Arial" w:cs="Arial"/>
              </w:rPr>
              <w:t>County</w:t>
            </w:r>
            <w:r w:rsidRPr="00B30F45">
              <w:rPr>
                <w:rFonts w:ascii="Arial" w:hAnsi="Arial" w:cs="Arial"/>
              </w:rPr>
              <w:t xml:space="preserve"> Water and the retailer for the provision of wholesale water or sewerage services as the context requires.</w:t>
            </w:r>
          </w:p>
        </w:tc>
      </w:tr>
      <w:tr w:rsidR="00B30F45" w14:paraId="46661401" w14:textId="77777777" w:rsidTr="00980BC9">
        <w:trPr>
          <w:trHeight w:val="651"/>
        </w:trPr>
        <w:tc>
          <w:tcPr>
            <w:tcW w:w="4112" w:type="dxa"/>
            <w:vAlign w:val="center"/>
          </w:tcPr>
          <w:p w14:paraId="5917B8A4" w14:textId="558CCE04" w:rsidR="00B30F45" w:rsidRPr="00B30F45" w:rsidRDefault="00B30F45" w:rsidP="0001185A">
            <w:pPr>
              <w:pStyle w:val="NoSpacing"/>
              <w:rPr>
                <w:rFonts w:ascii="Arial" w:hAnsi="Arial" w:cs="Arial"/>
              </w:rPr>
            </w:pPr>
            <w:r w:rsidRPr="00B30F45">
              <w:rPr>
                <w:rFonts w:ascii="Arial" w:hAnsi="Arial" w:cs="Arial"/>
              </w:rPr>
              <w:t>Wholesale Contract/Wholesale Retail Code</w:t>
            </w:r>
          </w:p>
        </w:tc>
        <w:tc>
          <w:tcPr>
            <w:tcW w:w="6804" w:type="dxa"/>
            <w:vAlign w:val="center"/>
          </w:tcPr>
          <w:p w14:paraId="7BDCB79E" w14:textId="77777777" w:rsidR="00B30F45" w:rsidRPr="00B30F45" w:rsidRDefault="00B30F45" w:rsidP="00B32A7C">
            <w:pPr>
              <w:tabs>
                <w:tab w:val="left" w:pos="939"/>
              </w:tabs>
              <w:rPr>
                <w:rFonts w:ascii="Arial" w:hAnsi="Arial" w:cs="Arial"/>
              </w:rPr>
            </w:pPr>
            <w:r w:rsidRPr="00B30F45">
              <w:rPr>
                <w:rFonts w:ascii="Arial" w:hAnsi="Arial" w:cs="Arial"/>
              </w:rPr>
              <w:t xml:space="preserve">The contract between the Contracting Wholesaler and the Contracting Retailer that constitutes: </w:t>
            </w:r>
          </w:p>
          <w:p w14:paraId="23E650AE" w14:textId="0CEC48A6"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 xml:space="preserve">a Section 66D Agreement; or, </w:t>
            </w:r>
          </w:p>
          <w:p w14:paraId="3CCA2D74" w14:textId="485213A3"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 xml:space="preserve">a Section 117E Agreement; or, </w:t>
            </w:r>
          </w:p>
          <w:p w14:paraId="1D1F1E31" w14:textId="77777777"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both a Section 66D Agreement and a Section 117E Agreement; and which, in each case, refers to and incorporates the terms and conditions set out in the Wholesale-Retail Code; and,</w:t>
            </w:r>
          </w:p>
          <w:p w14:paraId="7E13530D" w14:textId="16A6EEAD" w:rsidR="00B30F45" w:rsidRPr="00B30F45" w:rsidRDefault="00B30F45" w:rsidP="00B30F45">
            <w:pPr>
              <w:tabs>
                <w:tab w:val="left" w:pos="939"/>
              </w:tabs>
              <w:ind w:left="360"/>
              <w:rPr>
                <w:rFonts w:ascii="Arial" w:hAnsi="Arial" w:cs="Arial"/>
              </w:rPr>
            </w:pPr>
            <w:r w:rsidRPr="00B30F45">
              <w:rPr>
                <w:rFonts w:ascii="Arial" w:hAnsi="Arial" w:cs="Arial"/>
              </w:rPr>
              <w:t xml:space="preserve"> The code of that name issued by the Authority under sections 66DA and 117F of the Water Industry Act 1991 including, without limitation, the Business Terms, the Operational Terms and the Market Terms and any Approved Change from time to time.</w:t>
            </w:r>
          </w:p>
        </w:tc>
      </w:tr>
    </w:tbl>
    <w:p w14:paraId="2D98B1DE" w14:textId="77777777" w:rsidR="0001185A" w:rsidRDefault="0001185A"/>
    <w:p w14:paraId="5A4215F6" w14:textId="77777777" w:rsidR="00B32A7C" w:rsidRDefault="00B32A7C" w:rsidP="0058561C">
      <w:pPr>
        <w:pStyle w:val="NoSpacing"/>
        <w:rPr>
          <w:rFonts w:ascii="Arial" w:hAnsi="Arial" w:cs="Arial"/>
        </w:rPr>
      </w:pPr>
    </w:p>
    <w:p w14:paraId="122A99C9" w14:textId="075A7416" w:rsidR="00D345BC" w:rsidRDefault="00D345BC" w:rsidP="0058561C">
      <w:pPr>
        <w:pStyle w:val="NoSpacing"/>
        <w:rPr>
          <w:rFonts w:ascii="Arial" w:hAnsi="Arial" w:cs="Arial"/>
        </w:rPr>
      </w:pPr>
    </w:p>
    <w:p w14:paraId="34242F15" w14:textId="77777777" w:rsidR="00D345BC" w:rsidRPr="0058561C" w:rsidRDefault="00D345BC" w:rsidP="0058561C">
      <w:pPr>
        <w:pStyle w:val="NoSpacing"/>
        <w:rPr>
          <w:rFonts w:ascii="Arial" w:hAnsi="Arial" w:cs="Arial"/>
        </w:rPr>
      </w:pPr>
    </w:p>
    <w:p w14:paraId="4BBCF044" w14:textId="77777777" w:rsidR="0058561C" w:rsidRPr="0058561C" w:rsidRDefault="0058561C" w:rsidP="0058561C">
      <w:pPr>
        <w:pStyle w:val="NoSpacing"/>
      </w:pPr>
    </w:p>
    <w:sectPr w:rsidR="0058561C" w:rsidRPr="0058561C" w:rsidSect="006C1DAE">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A6F8" w14:textId="77777777" w:rsidR="0014204D" w:rsidRDefault="0014204D" w:rsidP="006966F5">
      <w:pPr>
        <w:spacing w:after="0" w:line="240" w:lineRule="auto"/>
      </w:pPr>
      <w:r>
        <w:separator/>
      </w:r>
    </w:p>
  </w:endnote>
  <w:endnote w:type="continuationSeparator" w:id="0">
    <w:p w14:paraId="053D7E7C" w14:textId="77777777" w:rsidR="0014204D" w:rsidRDefault="0014204D" w:rsidP="0069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20965"/>
      <w:docPartObj>
        <w:docPartGallery w:val="Page Numbers (Bottom of Page)"/>
        <w:docPartUnique/>
      </w:docPartObj>
    </w:sdtPr>
    <w:sdtEndPr>
      <w:rPr>
        <w:color w:val="7F7F7F" w:themeColor="background1" w:themeShade="7F"/>
        <w:spacing w:val="60"/>
      </w:rPr>
    </w:sdtEndPr>
    <w:sdtContent>
      <w:p w14:paraId="56B956F3" w14:textId="021B6660" w:rsidR="007A7A0C" w:rsidRDefault="007A7A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333A">
          <w:rPr>
            <w:noProof/>
          </w:rPr>
          <w:t>5</w:t>
        </w:r>
        <w:r>
          <w:rPr>
            <w:noProof/>
          </w:rPr>
          <w:fldChar w:fldCharType="end"/>
        </w:r>
        <w:r>
          <w:t xml:space="preserve"> | </w:t>
        </w:r>
        <w:r>
          <w:rPr>
            <w:color w:val="7F7F7F" w:themeColor="background1" w:themeShade="7F"/>
            <w:spacing w:val="60"/>
          </w:rPr>
          <w:t>Page</w:t>
        </w:r>
      </w:p>
    </w:sdtContent>
  </w:sdt>
  <w:p w14:paraId="39EE1B6D" w14:textId="77777777" w:rsidR="007A7A0C" w:rsidRDefault="007A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61A4" w14:textId="77777777" w:rsidR="0014204D" w:rsidRDefault="0014204D" w:rsidP="006966F5">
      <w:pPr>
        <w:spacing w:after="0" w:line="240" w:lineRule="auto"/>
      </w:pPr>
      <w:r>
        <w:separator/>
      </w:r>
    </w:p>
  </w:footnote>
  <w:footnote w:type="continuationSeparator" w:id="0">
    <w:p w14:paraId="1BBD89FB" w14:textId="77777777" w:rsidR="0014204D" w:rsidRDefault="0014204D" w:rsidP="0069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58C2" w14:textId="77777777" w:rsidR="007A7A0C" w:rsidRDefault="007A7A0C" w:rsidP="006966F5">
    <w:pPr>
      <w:pStyle w:val="NoSpacing"/>
      <w:jc w:val="right"/>
    </w:pPr>
    <w:r>
      <w:t xml:space="preserve">County Water Limited </w:t>
    </w:r>
  </w:p>
  <w:p w14:paraId="36A3B6E9" w14:textId="4CD8D0E3" w:rsidR="007A7A0C" w:rsidRDefault="007A7A0C" w:rsidP="00260AF4">
    <w:pPr>
      <w:pStyle w:val="NoSpacing"/>
      <w:jc w:val="right"/>
    </w:pPr>
    <w:r>
      <w:t xml:space="preserve">Published date: </w:t>
    </w:r>
    <w:r w:rsidR="00D308D5">
      <w:t>29</w:t>
    </w:r>
    <w:r>
      <w:t>/03/</w:t>
    </w:r>
    <w:r w:rsidR="00180866">
      <w:t>202</w:t>
    </w:r>
    <w:r w:rsidR="00375583">
      <w:t>3</w:t>
    </w:r>
    <w:r w:rsidR="00180866">
      <w:t xml:space="preserve"> </w:t>
    </w:r>
  </w:p>
  <w:p w14:paraId="41ACD778" w14:textId="23111087" w:rsidR="007A7A0C" w:rsidRDefault="007A7A0C" w:rsidP="00375583">
    <w:pPr>
      <w:pStyle w:val="NoSpacing"/>
      <w:jc w:val="right"/>
    </w:pPr>
    <w:r>
      <w:t>Effective date: 01/04/</w:t>
    </w:r>
    <w:r w:rsidR="00180866">
      <w:t>202</w:t>
    </w:r>
    <w:r w:rsidR="00375583">
      <w:t>3</w:t>
    </w:r>
    <w:r w:rsidR="00180866">
      <w:t xml:space="preserve"> </w:t>
    </w:r>
  </w:p>
  <w:p w14:paraId="1ED2F3BB" w14:textId="36F39413" w:rsidR="007A7A0C" w:rsidRDefault="007A7A0C" w:rsidP="006966F5">
    <w:pPr>
      <w:pStyle w:val="NoSpacing"/>
      <w:jc w:val="right"/>
    </w:pPr>
    <w:r>
      <w:t>Version 1.0</w:t>
    </w:r>
  </w:p>
  <w:p w14:paraId="40694720" w14:textId="77777777" w:rsidR="007A7A0C" w:rsidRDefault="007A7A0C" w:rsidP="006966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CA2"/>
    <w:multiLevelType w:val="hybridMultilevel"/>
    <w:tmpl w:val="E366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6C56"/>
    <w:multiLevelType w:val="hybridMultilevel"/>
    <w:tmpl w:val="FB9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218FF"/>
    <w:multiLevelType w:val="hybridMultilevel"/>
    <w:tmpl w:val="FF6C75B2"/>
    <w:lvl w:ilvl="0" w:tplc="3FC4AD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06701"/>
    <w:multiLevelType w:val="hybridMultilevel"/>
    <w:tmpl w:val="D918EC2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780730C"/>
    <w:multiLevelType w:val="multilevel"/>
    <w:tmpl w:val="D23011F0"/>
    <w:lvl w:ilvl="0">
      <w:start w:val="89"/>
      <w:numFmt w:val="decimal"/>
      <w:lvlText w:val="%1"/>
      <w:lvlJc w:val="left"/>
      <w:pPr>
        <w:ind w:left="540" w:hanging="540"/>
      </w:pPr>
      <w:rPr>
        <w:rFonts w:hint="default"/>
      </w:rPr>
    </w:lvl>
    <w:lvl w:ilvl="1">
      <w:start w:val="6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22CF6"/>
    <w:multiLevelType w:val="hybridMultilevel"/>
    <w:tmpl w:val="C7D007D0"/>
    <w:lvl w:ilvl="0" w:tplc="963C2020">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174F6"/>
    <w:multiLevelType w:val="hybridMultilevel"/>
    <w:tmpl w:val="FB1020A6"/>
    <w:lvl w:ilvl="0" w:tplc="85C2CD1A">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26A1950"/>
    <w:multiLevelType w:val="hybridMultilevel"/>
    <w:tmpl w:val="4678F0BC"/>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315D4"/>
    <w:multiLevelType w:val="hybridMultilevel"/>
    <w:tmpl w:val="582E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843D7"/>
    <w:multiLevelType w:val="hybridMultilevel"/>
    <w:tmpl w:val="B0E6EC72"/>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9025B"/>
    <w:multiLevelType w:val="hybridMultilevel"/>
    <w:tmpl w:val="FE6E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62161"/>
    <w:multiLevelType w:val="hybridMultilevel"/>
    <w:tmpl w:val="502C3C18"/>
    <w:lvl w:ilvl="0" w:tplc="5B96E9B8">
      <w:start w:val="1"/>
      <w:numFmt w:val="decimal"/>
      <w:lvlText w:val="(%1)"/>
      <w:lvlJc w:val="left"/>
      <w:pPr>
        <w:ind w:left="750" w:hanging="390"/>
      </w:pPr>
      <w:rPr>
        <w:rFonts w:hint="default"/>
      </w:rPr>
    </w:lvl>
    <w:lvl w:ilvl="1" w:tplc="E35036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9B0664"/>
    <w:multiLevelType w:val="hybridMultilevel"/>
    <w:tmpl w:val="AFEA4FF2"/>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65F88"/>
    <w:multiLevelType w:val="hybridMultilevel"/>
    <w:tmpl w:val="3DD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73CF0"/>
    <w:multiLevelType w:val="hybridMultilevel"/>
    <w:tmpl w:val="AECC4DA4"/>
    <w:lvl w:ilvl="0" w:tplc="7B6EC61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22349"/>
    <w:multiLevelType w:val="hybridMultilevel"/>
    <w:tmpl w:val="54A6BA76"/>
    <w:lvl w:ilvl="0" w:tplc="9CA60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11"/>
  </w:num>
  <w:num w:numId="5">
    <w:abstractNumId w:val="5"/>
  </w:num>
  <w:num w:numId="6">
    <w:abstractNumId w:val="6"/>
  </w:num>
  <w:num w:numId="7">
    <w:abstractNumId w:val="9"/>
  </w:num>
  <w:num w:numId="8">
    <w:abstractNumId w:val="12"/>
  </w:num>
  <w:num w:numId="9">
    <w:abstractNumId w:val="15"/>
  </w:num>
  <w:num w:numId="10">
    <w:abstractNumId w:val="0"/>
  </w:num>
  <w:num w:numId="11">
    <w:abstractNumId w:val="4"/>
  </w:num>
  <w:num w:numId="12">
    <w:abstractNumId w:val="8"/>
  </w:num>
  <w:num w:numId="13">
    <w:abstractNumId w:val="2"/>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F5"/>
    <w:rsid w:val="00002469"/>
    <w:rsid w:val="000051F5"/>
    <w:rsid w:val="00007BFA"/>
    <w:rsid w:val="0001185A"/>
    <w:rsid w:val="00015175"/>
    <w:rsid w:val="0003070E"/>
    <w:rsid w:val="00033A51"/>
    <w:rsid w:val="00041805"/>
    <w:rsid w:val="0005122D"/>
    <w:rsid w:val="000569BB"/>
    <w:rsid w:val="00080E74"/>
    <w:rsid w:val="00081222"/>
    <w:rsid w:val="000935EC"/>
    <w:rsid w:val="000C2F01"/>
    <w:rsid w:val="00104FB5"/>
    <w:rsid w:val="0010716F"/>
    <w:rsid w:val="0011051E"/>
    <w:rsid w:val="00130615"/>
    <w:rsid w:val="0014204D"/>
    <w:rsid w:val="00153D9B"/>
    <w:rsid w:val="00167058"/>
    <w:rsid w:val="0017465E"/>
    <w:rsid w:val="00180866"/>
    <w:rsid w:val="00184016"/>
    <w:rsid w:val="00184B78"/>
    <w:rsid w:val="001A0DD8"/>
    <w:rsid w:val="001B0A56"/>
    <w:rsid w:val="002018DC"/>
    <w:rsid w:val="00203798"/>
    <w:rsid w:val="002039A2"/>
    <w:rsid w:val="00207DAB"/>
    <w:rsid w:val="00212560"/>
    <w:rsid w:val="00260AF4"/>
    <w:rsid w:val="0026168E"/>
    <w:rsid w:val="002649AB"/>
    <w:rsid w:val="00291A84"/>
    <w:rsid w:val="002A4393"/>
    <w:rsid w:val="002C04C3"/>
    <w:rsid w:val="002C4E6E"/>
    <w:rsid w:val="002D4F9C"/>
    <w:rsid w:val="002E04B2"/>
    <w:rsid w:val="002F01ED"/>
    <w:rsid w:val="00300CED"/>
    <w:rsid w:val="0030517C"/>
    <w:rsid w:val="00316CF5"/>
    <w:rsid w:val="003353F7"/>
    <w:rsid w:val="00336421"/>
    <w:rsid w:val="00346F1A"/>
    <w:rsid w:val="003608B8"/>
    <w:rsid w:val="00375583"/>
    <w:rsid w:val="003A38E1"/>
    <w:rsid w:val="0042649E"/>
    <w:rsid w:val="004415C0"/>
    <w:rsid w:val="00441B5A"/>
    <w:rsid w:val="00447AEE"/>
    <w:rsid w:val="004616F3"/>
    <w:rsid w:val="00464411"/>
    <w:rsid w:val="00470D1E"/>
    <w:rsid w:val="00497A3B"/>
    <w:rsid w:val="004A160C"/>
    <w:rsid w:val="004A1671"/>
    <w:rsid w:val="004B3AFC"/>
    <w:rsid w:val="004B4C72"/>
    <w:rsid w:val="004C677E"/>
    <w:rsid w:val="004D0493"/>
    <w:rsid w:val="004D20DA"/>
    <w:rsid w:val="004D4538"/>
    <w:rsid w:val="004D78E0"/>
    <w:rsid w:val="004F05B4"/>
    <w:rsid w:val="005004B4"/>
    <w:rsid w:val="00523515"/>
    <w:rsid w:val="0053040F"/>
    <w:rsid w:val="005456F7"/>
    <w:rsid w:val="005540CF"/>
    <w:rsid w:val="00564CE7"/>
    <w:rsid w:val="00584DCC"/>
    <w:rsid w:val="0058561C"/>
    <w:rsid w:val="00587063"/>
    <w:rsid w:val="00590AEA"/>
    <w:rsid w:val="005924B2"/>
    <w:rsid w:val="005A1219"/>
    <w:rsid w:val="005A269C"/>
    <w:rsid w:val="005A3C37"/>
    <w:rsid w:val="005E059D"/>
    <w:rsid w:val="005E1CDA"/>
    <w:rsid w:val="00602D7A"/>
    <w:rsid w:val="006077F8"/>
    <w:rsid w:val="00610961"/>
    <w:rsid w:val="00613B8F"/>
    <w:rsid w:val="00632D7B"/>
    <w:rsid w:val="006466FE"/>
    <w:rsid w:val="006523AA"/>
    <w:rsid w:val="00657722"/>
    <w:rsid w:val="0066219F"/>
    <w:rsid w:val="0067291D"/>
    <w:rsid w:val="00677918"/>
    <w:rsid w:val="006914E9"/>
    <w:rsid w:val="006966F5"/>
    <w:rsid w:val="006A0DA5"/>
    <w:rsid w:val="006A1DF8"/>
    <w:rsid w:val="006A5E24"/>
    <w:rsid w:val="006C1DAE"/>
    <w:rsid w:val="006D4B92"/>
    <w:rsid w:val="006D706D"/>
    <w:rsid w:val="007121FB"/>
    <w:rsid w:val="00712644"/>
    <w:rsid w:val="00721D4B"/>
    <w:rsid w:val="00733029"/>
    <w:rsid w:val="00736F07"/>
    <w:rsid w:val="00747C37"/>
    <w:rsid w:val="0076559F"/>
    <w:rsid w:val="00787200"/>
    <w:rsid w:val="007A7A0C"/>
    <w:rsid w:val="007C5703"/>
    <w:rsid w:val="007C5A09"/>
    <w:rsid w:val="007C6037"/>
    <w:rsid w:val="007E299E"/>
    <w:rsid w:val="007E78C0"/>
    <w:rsid w:val="007F7C33"/>
    <w:rsid w:val="007F7FCC"/>
    <w:rsid w:val="00812840"/>
    <w:rsid w:val="00820076"/>
    <w:rsid w:val="00822BEB"/>
    <w:rsid w:val="00831936"/>
    <w:rsid w:val="00842909"/>
    <w:rsid w:val="00846B00"/>
    <w:rsid w:val="00851F9D"/>
    <w:rsid w:val="00852C04"/>
    <w:rsid w:val="008667A7"/>
    <w:rsid w:val="00896918"/>
    <w:rsid w:val="008A53D3"/>
    <w:rsid w:val="008B6819"/>
    <w:rsid w:val="008C2976"/>
    <w:rsid w:val="008E501A"/>
    <w:rsid w:val="008E52FD"/>
    <w:rsid w:val="008F0106"/>
    <w:rsid w:val="008F34A2"/>
    <w:rsid w:val="0090091A"/>
    <w:rsid w:val="00905484"/>
    <w:rsid w:val="00913161"/>
    <w:rsid w:val="009165AE"/>
    <w:rsid w:val="00934FB2"/>
    <w:rsid w:val="00941818"/>
    <w:rsid w:val="00953AC3"/>
    <w:rsid w:val="00954273"/>
    <w:rsid w:val="00964202"/>
    <w:rsid w:val="00980BC9"/>
    <w:rsid w:val="009857C8"/>
    <w:rsid w:val="009A5BE9"/>
    <w:rsid w:val="009A79FB"/>
    <w:rsid w:val="009C08CE"/>
    <w:rsid w:val="009C5621"/>
    <w:rsid w:val="009F3304"/>
    <w:rsid w:val="009F4675"/>
    <w:rsid w:val="00A0219B"/>
    <w:rsid w:val="00A27B29"/>
    <w:rsid w:val="00A45EBD"/>
    <w:rsid w:val="00A51CC3"/>
    <w:rsid w:val="00A52962"/>
    <w:rsid w:val="00A547F3"/>
    <w:rsid w:val="00A704F7"/>
    <w:rsid w:val="00A8543E"/>
    <w:rsid w:val="00A96447"/>
    <w:rsid w:val="00AC0488"/>
    <w:rsid w:val="00AD2E9F"/>
    <w:rsid w:val="00AD5CB3"/>
    <w:rsid w:val="00AD608A"/>
    <w:rsid w:val="00B014CC"/>
    <w:rsid w:val="00B1000B"/>
    <w:rsid w:val="00B277D8"/>
    <w:rsid w:val="00B30F45"/>
    <w:rsid w:val="00B32A7C"/>
    <w:rsid w:val="00B42475"/>
    <w:rsid w:val="00B51E1A"/>
    <w:rsid w:val="00B66204"/>
    <w:rsid w:val="00B746C4"/>
    <w:rsid w:val="00B77A1A"/>
    <w:rsid w:val="00B963AA"/>
    <w:rsid w:val="00B967D2"/>
    <w:rsid w:val="00BA1AB5"/>
    <w:rsid w:val="00BF1A1B"/>
    <w:rsid w:val="00BF290F"/>
    <w:rsid w:val="00BF57F7"/>
    <w:rsid w:val="00C179C2"/>
    <w:rsid w:val="00C22FD5"/>
    <w:rsid w:val="00C3408E"/>
    <w:rsid w:val="00C4610D"/>
    <w:rsid w:val="00C5333A"/>
    <w:rsid w:val="00C6201E"/>
    <w:rsid w:val="00C648B2"/>
    <w:rsid w:val="00C6562B"/>
    <w:rsid w:val="00C72818"/>
    <w:rsid w:val="00C77E03"/>
    <w:rsid w:val="00C932FC"/>
    <w:rsid w:val="00CA42D4"/>
    <w:rsid w:val="00CB0B2D"/>
    <w:rsid w:val="00CD3019"/>
    <w:rsid w:val="00CE044B"/>
    <w:rsid w:val="00CF0D7E"/>
    <w:rsid w:val="00D011C0"/>
    <w:rsid w:val="00D11814"/>
    <w:rsid w:val="00D21287"/>
    <w:rsid w:val="00D308D5"/>
    <w:rsid w:val="00D3362A"/>
    <w:rsid w:val="00D345BC"/>
    <w:rsid w:val="00D447C5"/>
    <w:rsid w:val="00D62460"/>
    <w:rsid w:val="00D643D4"/>
    <w:rsid w:val="00D74216"/>
    <w:rsid w:val="00D776B8"/>
    <w:rsid w:val="00DA3CDF"/>
    <w:rsid w:val="00DC3C27"/>
    <w:rsid w:val="00DC67B9"/>
    <w:rsid w:val="00DC71A7"/>
    <w:rsid w:val="00DE4608"/>
    <w:rsid w:val="00DF28C9"/>
    <w:rsid w:val="00DF3069"/>
    <w:rsid w:val="00E01E16"/>
    <w:rsid w:val="00E3085B"/>
    <w:rsid w:val="00E67144"/>
    <w:rsid w:val="00E75F17"/>
    <w:rsid w:val="00E86A1D"/>
    <w:rsid w:val="00E97559"/>
    <w:rsid w:val="00E9788B"/>
    <w:rsid w:val="00EA549D"/>
    <w:rsid w:val="00EA7327"/>
    <w:rsid w:val="00EA75B3"/>
    <w:rsid w:val="00EB42BB"/>
    <w:rsid w:val="00EF374B"/>
    <w:rsid w:val="00F113D8"/>
    <w:rsid w:val="00F11B1C"/>
    <w:rsid w:val="00F17F27"/>
    <w:rsid w:val="00F4571D"/>
    <w:rsid w:val="00F66456"/>
    <w:rsid w:val="00F77EA5"/>
    <w:rsid w:val="00F84426"/>
    <w:rsid w:val="00F869EB"/>
    <w:rsid w:val="00F91935"/>
    <w:rsid w:val="00F92E2A"/>
    <w:rsid w:val="00FA4EED"/>
    <w:rsid w:val="00FB431F"/>
    <w:rsid w:val="00FB58A5"/>
    <w:rsid w:val="00FC2488"/>
    <w:rsid w:val="00FC442E"/>
    <w:rsid w:val="00FC6A3B"/>
    <w:rsid w:val="00FE281C"/>
    <w:rsid w:val="00FE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CC43"/>
  <w15:chartTrackingRefBased/>
  <w15:docId w15:val="{62D21A0C-E9D0-47C8-9F19-9EF5C95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6F5"/>
    <w:pPr>
      <w:spacing w:after="0" w:line="240" w:lineRule="auto"/>
    </w:pPr>
  </w:style>
  <w:style w:type="paragraph" w:styleId="Header">
    <w:name w:val="header"/>
    <w:basedOn w:val="Normal"/>
    <w:link w:val="HeaderChar"/>
    <w:uiPriority w:val="99"/>
    <w:unhideWhenUsed/>
    <w:rsid w:val="0069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6F5"/>
  </w:style>
  <w:style w:type="paragraph" w:styleId="Footer">
    <w:name w:val="footer"/>
    <w:basedOn w:val="Normal"/>
    <w:link w:val="FooterChar"/>
    <w:unhideWhenUsed/>
    <w:rsid w:val="0069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6F5"/>
  </w:style>
  <w:style w:type="table" w:styleId="TableGrid">
    <w:name w:val="Table Grid"/>
    <w:basedOn w:val="TableNormal"/>
    <w:uiPriority w:val="39"/>
    <w:rsid w:val="0046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F07"/>
    <w:pPr>
      <w:ind w:left="720"/>
      <w:contextualSpacing/>
    </w:pPr>
  </w:style>
  <w:style w:type="paragraph" w:styleId="BalloonText">
    <w:name w:val="Balloon Text"/>
    <w:basedOn w:val="Normal"/>
    <w:link w:val="BalloonTextChar"/>
    <w:uiPriority w:val="99"/>
    <w:semiHidden/>
    <w:unhideWhenUsed/>
    <w:rsid w:val="00D1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14"/>
    <w:rPr>
      <w:rFonts w:ascii="Segoe UI" w:hAnsi="Segoe UI" w:cs="Segoe UI"/>
      <w:sz w:val="18"/>
      <w:szCs w:val="18"/>
    </w:rPr>
  </w:style>
  <w:style w:type="paragraph" w:customStyle="1" w:styleId="Default">
    <w:name w:val="Default"/>
    <w:rsid w:val="005E05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cdc29-3a3e-461c-b221-b6a74af0b4af">
      <Terms xmlns="http://schemas.microsoft.com/office/infopath/2007/PartnerControls"/>
    </lcf76f155ced4ddcb4097134ff3c332f>
    <TaxCatchAll xmlns="f21928e1-78f6-4f72-add3-f39af8dfc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EEE0D69BE746B7E032219D446538" ma:contentTypeVersion="20" ma:contentTypeDescription="Create a new document." ma:contentTypeScope="" ma:versionID="bdbccccfa4119ce1cbf98c4dde663703">
  <xsd:schema xmlns:xsd="http://www.w3.org/2001/XMLSchema" xmlns:xs="http://www.w3.org/2001/XMLSchema" xmlns:p="http://schemas.microsoft.com/office/2006/metadata/properties" xmlns:ns2="e0dcdc29-3a3e-461c-b221-b6a74af0b4af" xmlns:ns3="f21928e1-78f6-4f72-add3-f39af8dfc84d" targetNamespace="http://schemas.microsoft.com/office/2006/metadata/properties" ma:root="true" ma:fieldsID="115f9959f7ee4bfe5ed993ae5db169d2" ns2:_="" ns3:_="">
    <xsd:import namespace="e0dcdc29-3a3e-461c-b221-b6a74af0b4af"/>
    <xsd:import namespace="f21928e1-78f6-4f72-add3-f39af8dfc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dc29-3a3e-461c-b221-b6a74af0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8f8fa-866e-4f7f-8a1c-9d29d53631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928e1-78f6-4f72-add3-f39af8dfc8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13b579-a8e4-4c3c-a619-206570e026ce}" ma:internalName="TaxCatchAll" ma:showField="CatchAllData" ma:web="f21928e1-78f6-4f72-add3-f39af8df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51C7-44CD-4AB4-A360-AC8886705460}">
  <ds:schemaRefs>
    <ds:schemaRef ds:uri="http://schemas.microsoft.com/office/2006/metadata/properties"/>
    <ds:schemaRef ds:uri="http://schemas.microsoft.com/office/infopath/2007/PartnerControls"/>
    <ds:schemaRef ds:uri="e0dcdc29-3a3e-461c-b221-b6a74af0b4af"/>
    <ds:schemaRef ds:uri="f21928e1-78f6-4f72-add3-f39af8dfc84d"/>
  </ds:schemaRefs>
</ds:datastoreItem>
</file>

<file path=customXml/itemProps2.xml><?xml version="1.0" encoding="utf-8"?>
<ds:datastoreItem xmlns:ds="http://schemas.openxmlformats.org/officeDocument/2006/customXml" ds:itemID="{E32AEE7D-1107-4760-B6F0-AF7464AA6C6D}">
  <ds:schemaRefs>
    <ds:schemaRef ds:uri="http://schemas.microsoft.com/sharepoint/v3/contenttype/forms"/>
  </ds:schemaRefs>
</ds:datastoreItem>
</file>

<file path=customXml/itemProps3.xml><?xml version="1.0" encoding="utf-8"?>
<ds:datastoreItem xmlns:ds="http://schemas.openxmlformats.org/officeDocument/2006/customXml" ds:itemID="{F17CA4C8-395A-4C0C-925D-FA8AD6BF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cdc29-3a3e-461c-b221-b6a74af0b4af"/>
    <ds:schemaRef ds:uri="f21928e1-78f6-4f72-add3-f39af8d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181CD-C9D3-4D3E-B5EA-05EBBD45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8006</Words>
  <Characters>45637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Eaves</dc:creator>
  <cp:keywords/>
  <dc:description/>
  <cp:lastModifiedBy>Rita Klausz</cp:lastModifiedBy>
  <cp:revision>58</cp:revision>
  <cp:lastPrinted>2020-01-28T11:58:00Z</cp:lastPrinted>
  <dcterms:created xsi:type="dcterms:W3CDTF">2022-03-30T12:04:00Z</dcterms:created>
  <dcterms:modified xsi:type="dcterms:W3CDTF">2024-05-21T15:19:00Z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0x0101004FDEEEE0D69BE746B7E032219D446538</vt:lpwstr>
  </property>
  <property fmtid="{D5CDD505-2E9C-101B-9397-08002B2CF9AE}" pid="3" name="Order">
    <vt:r8>2720400</vt:r8>
  </property>
  <property fmtid="{D5CDD505-2E9C-101B-9397-08002B2CF9AE}" pid="4" name="MediaServiceImageTags">
    <vt:lpwstr/>
  </property>
</Properties>
</file>